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C07E46" w:rsidP="00A81622">
      <w:pPr>
        <w:rPr>
          <w:rFonts w:asciiTheme="majorHAnsi" w:hAnsiTheme="majorHAnsi" w:cstheme="majorHAnsi"/>
          <w:b/>
        </w:rPr>
      </w:pPr>
      <w:r>
        <w:rPr>
          <w:rFonts w:asciiTheme="majorHAnsi" w:hAnsiTheme="majorHAnsi" w:cstheme="majorHAnsi"/>
          <w:b/>
        </w:rPr>
        <w:fldChar w:fldCharType="begin"/>
      </w:r>
      <w:r w:rsidR="00124438">
        <w:rPr>
          <w:rFonts w:asciiTheme="majorHAnsi" w:hAnsiTheme="majorHAnsi" w:cstheme="majorHAnsi"/>
          <w:b/>
        </w:rPr>
        <w:instrText xml:space="preserve"> MACROBUTTON MTEditEquationSection2 </w:instrText>
      </w:r>
      <w:r w:rsidR="00124438" w:rsidRPr="00124438">
        <w:rPr>
          <w:rStyle w:val="MTEquationSection"/>
        </w:rPr>
        <w:instrText>Chapitre d'équation 1 Section 1</w:instrText>
      </w:r>
      <w:r>
        <w:rPr>
          <w:rFonts w:asciiTheme="majorHAnsi" w:hAnsiTheme="majorHAnsi" w:cstheme="majorHAnsi"/>
          <w:b/>
        </w:rPr>
        <w:fldChar w:fldCharType="begin"/>
      </w:r>
      <w:r w:rsidR="00124438">
        <w:rPr>
          <w:rFonts w:asciiTheme="majorHAnsi" w:hAnsiTheme="majorHAnsi" w:cstheme="majorHAnsi"/>
          <w:b/>
        </w:rPr>
        <w:instrText xml:space="preserve"> SEQ MTEqn \r \h \* MERGEFORMAT </w:instrText>
      </w:r>
      <w:r>
        <w:rPr>
          <w:rFonts w:asciiTheme="majorHAnsi" w:hAnsiTheme="majorHAnsi" w:cstheme="majorHAnsi"/>
          <w:b/>
        </w:rPr>
        <w:fldChar w:fldCharType="end"/>
      </w:r>
      <w:r>
        <w:rPr>
          <w:rFonts w:asciiTheme="majorHAnsi" w:hAnsiTheme="majorHAnsi" w:cstheme="majorHAnsi"/>
          <w:b/>
        </w:rPr>
        <w:fldChar w:fldCharType="begin"/>
      </w:r>
      <w:r w:rsidR="00124438">
        <w:rPr>
          <w:rFonts w:asciiTheme="majorHAnsi" w:hAnsiTheme="majorHAnsi" w:cstheme="majorHAnsi"/>
          <w:b/>
        </w:rPr>
        <w:instrText xml:space="preserve"> SEQ MTSec \r 1 \h \* MERGEFORMAT </w:instrText>
      </w:r>
      <w:r>
        <w:rPr>
          <w:rFonts w:asciiTheme="majorHAnsi" w:hAnsiTheme="majorHAnsi" w:cstheme="majorHAnsi"/>
          <w:b/>
        </w:rPr>
        <w:fldChar w:fldCharType="end"/>
      </w:r>
      <w:r>
        <w:rPr>
          <w:rFonts w:asciiTheme="majorHAnsi" w:hAnsiTheme="majorHAnsi" w:cstheme="majorHAnsi"/>
          <w:b/>
        </w:rPr>
        <w:fldChar w:fldCharType="begin"/>
      </w:r>
      <w:r w:rsidR="00124438">
        <w:rPr>
          <w:rFonts w:asciiTheme="majorHAnsi" w:hAnsiTheme="majorHAnsi" w:cstheme="majorHAnsi"/>
          <w:b/>
        </w:rPr>
        <w:instrText xml:space="preserve"> SEQ MTChap \r 1 \h \* MERGEFORMAT </w:instrText>
      </w:r>
      <w:r>
        <w:rPr>
          <w:rFonts w:asciiTheme="majorHAnsi" w:hAnsiTheme="majorHAnsi" w:cstheme="majorHAnsi"/>
          <w:b/>
        </w:rPr>
        <w:fldChar w:fldCharType="end"/>
      </w:r>
      <w:r>
        <w:rPr>
          <w:rFonts w:asciiTheme="majorHAnsi" w:hAnsiTheme="majorHAnsi" w:cstheme="majorHAnsi"/>
          <w:b/>
        </w:rPr>
        <w:fldChar w:fldCharType="end"/>
      </w:r>
      <w:r w:rsidR="0051424C" w:rsidRPr="00A81622">
        <w:rPr>
          <w:rFonts w:asciiTheme="majorHAnsi" w:hAnsiTheme="majorHAnsi" w:cstheme="majorHAnsi"/>
          <w:b/>
        </w:rPr>
        <w:t xml:space="preserve">3GPP TSG-RAN WG1 </w:t>
      </w:r>
      <w:r w:rsidR="002A271E">
        <w:rPr>
          <w:rFonts w:asciiTheme="majorHAnsi" w:hAnsiTheme="majorHAnsi" w:cstheme="majorHAnsi"/>
          <w:b/>
        </w:rPr>
        <w:t>#9</w:t>
      </w:r>
      <w:r w:rsidR="0093521C">
        <w:rPr>
          <w:rFonts w:asciiTheme="majorHAnsi" w:hAnsiTheme="majorHAnsi" w:cstheme="majorHAnsi"/>
          <w:b/>
        </w:rPr>
        <w:t>2</w:t>
      </w:r>
      <w:r w:rsidR="00072207">
        <w:rPr>
          <w:rFonts w:asciiTheme="majorHAnsi" w:hAnsiTheme="majorHAnsi" w:cstheme="majorHAnsi"/>
          <w:b/>
        </w:rPr>
        <w:t>b</w:t>
      </w:r>
      <w:r w:rsidR="003268BA" w:rsidRPr="0073662B">
        <w:rPr>
          <w:rFonts w:asciiTheme="majorHAnsi" w:hAnsiTheme="majorHAnsi" w:cstheme="majorHAnsi"/>
          <w:b/>
        </w:rPr>
        <w:tab/>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eastAsia="MS Mincho" w:hAnsiTheme="majorHAnsi" w:cstheme="majorHAnsi"/>
          <w:b/>
        </w:rPr>
        <w:t xml:space="preserve">        </w:t>
      </w:r>
      <w:r w:rsidR="003268BA" w:rsidRPr="0073662B">
        <w:rPr>
          <w:rFonts w:asciiTheme="majorHAnsi" w:eastAsia="SimSun" w:hAnsiTheme="majorHAnsi" w:cstheme="majorHAnsi"/>
          <w:b/>
          <w:lang w:eastAsia="zh-CN"/>
        </w:rPr>
        <w:t xml:space="preserve">   </w:t>
      </w:r>
      <w:r w:rsidR="003268BA" w:rsidRPr="0073662B">
        <w:rPr>
          <w:rFonts w:asciiTheme="majorHAnsi" w:hAnsiTheme="majorHAnsi" w:cstheme="majorHAnsi"/>
          <w:b/>
        </w:rPr>
        <w:t xml:space="preserve">      </w:t>
      </w:r>
      <w:r w:rsidR="003268BA" w:rsidRPr="0073662B">
        <w:rPr>
          <w:rFonts w:asciiTheme="majorHAnsi" w:hAnsiTheme="majorHAnsi" w:cstheme="majorHAnsi"/>
          <w:b/>
        </w:rPr>
        <w:tab/>
      </w:r>
      <w:r w:rsidR="002A271E">
        <w:rPr>
          <w:rFonts w:asciiTheme="majorHAnsi" w:hAnsiTheme="majorHAnsi" w:cstheme="majorHAnsi"/>
          <w:b/>
        </w:rPr>
        <w:tab/>
      </w:r>
      <w:r w:rsidR="003268BA" w:rsidRPr="0073662B">
        <w:rPr>
          <w:rFonts w:asciiTheme="majorHAnsi" w:hAnsiTheme="majorHAnsi" w:cstheme="majorHAnsi"/>
          <w:b/>
        </w:rPr>
        <w:t xml:space="preserve">                  </w:t>
      </w:r>
      <w:r w:rsidR="00627A6C" w:rsidRPr="00627A6C">
        <w:rPr>
          <w:rFonts w:asciiTheme="majorHAnsi" w:hAnsiTheme="majorHAnsi" w:cstheme="majorHAnsi"/>
          <w:b/>
        </w:rPr>
        <w:t xml:space="preserve"> </w:t>
      </w:r>
      <w:r w:rsidR="005D29FA" w:rsidRPr="005D29FA">
        <w:rPr>
          <w:rFonts w:asciiTheme="majorHAnsi" w:hAnsiTheme="majorHAnsi" w:cstheme="majorHAnsi"/>
          <w:b/>
        </w:rPr>
        <w:t>R1-1804040</w:t>
      </w:r>
    </w:p>
    <w:p w:rsidR="00CF7042" w:rsidRPr="00A81622" w:rsidRDefault="00072207" w:rsidP="00CF7042">
      <w:pPr>
        <w:rPr>
          <w:rFonts w:asciiTheme="majorHAnsi" w:eastAsia="MS Mincho" w:hAnsiTheme="majorHAnsi" w:cstheme="majorHAnsi"/>
          <w:b/>
          <w:bCs/>
          <w:sz w:val="28"/>
        </w:rPr>
      </w:pPr>
      <w:r>
        <w:rPr>
          <w:rFonts w:asciiTheme="majorHAnsi" w:hAnsiTheme="majorHAnsi" w:cstheme="majorHAnsi"/>
          <w:b/>
        </w:rPr>
        <w:t>Sanya, China, April 16</w:t>
      </w:r>
      <w:r w:rsidRPr="00A25232">
        <w:rPr>
          <w:rFonts w:asciiTheme="majorHAnsi" w:hAnsiTheme="majorHAnsi" w:cstheme="majorHAnsi"/>
          <w:b/>
          <w:vertAlign w:val="superscript"/>
        </w:rPr>
        <w:t>th</w:t>
      </w:r>
      <w:r>
        <w:rPr>
          <w:rFonts w:asciiTheme="majorHAnsi" w:hAnsiTheme="majorHAnsi" w:cstheme="majorHAnsi"/>
          <w:b/>
        </w:rPr>
        <w:t>-20</w:t>
      </w:r>
      <w:r w:rsidRPr="00F652E7">
        <w:rPr>
          <w:rFonts w:asciiTheme="majorHAnsi" w:hAnsiTheme="majorHAnsi" w:cstheme="majorHAnsi"/>
          <w:b/>
          <w:vertAlign w:val="superscript"/>
        </w:rPr>
        <w:t>th</w:t>
      </w:r>
      <w:r>
        <w:rPr>
          <w:rFonts w:asciiTheme="majorHAnsi" w:hAnsiTheme="majorHAnsi" w:cstheme="majorHAnsi"/>
          <w:b/>
        </w:rPr>
        <w:t xml:space="preserve"> 2018</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2A271E">
        <w:rPr>
          <w:rFonts w:asciiTheme="majorHAnsi" w:eastAsia="MS Gothic" w:hAnsiTheme="majorHAnsi" w:cstheme="majorHAnsi"/>
          <w:noProof w:val="0"/>
          <w:sz w:val="24"/>
        </w:rPr>
        <w:t xml:space="preserve">Low PAPR SFBC </w:t>
      </w:r>
      <w:r w:rsidR="00105944">
        <w:rPr>
          <w:rFonts w:asciiTheme="majorHAnsi" w:eastAsia="MS Gothic" w:hAnsiTheme="majorHAnsi" w:cstheme="majorHAnsi"/>
          <w:noProof w:val="0"/>
          <w:sz w:val="24"/>
        </w:rPr>
        <w:t xml:space="preserve">evaluations </w:t>
      </w:r>
      <w:r w:rsidR="002A271E">
        <w:rPr>
          <w:rFonts w:asciiTheme="majorHAnsi" w:eastAsia="MS Gothic" w:hAnsiTheme="majorHAnsi" w:cstheme="majorHAnsi"/>
          <w:noProof w:val="0"/>
          <w:sz w:val="24"/>
        </w:rPr>
        <w:t xml:space="preserve">for </w:t>
      </w:r>
      <w:r w:rsidR="00BF4876">
        <w:rPr>
          <w:rFonts w:asciiTheme="majorHAnsi" w:eastAsia="MS Gothic" w:hAnsiTheme="majorHAnsi" w:cstheme="majorHAnsi"/>
          <w:noProof w:val="0"/>
          <w:sz w:val="24"/>
        </w:rPr>
        <w:t>PSSCH</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51424C">
        <w:rPr>
          <w:rFonts w:asciiTheme="majorHAnsi" w:eastAsia="MS Gothic" w:hAnsiTheme="majorHAnsi" w:cstheme="majorHAnsi"/>
          <w:noProof w:val="0"/>
          <w:sz w:val="24"/>
        </w:rPr>
        <w:t>6</w:t>
      </w:r>
      <w:r w:rsidR="00145316">
        <w:rPr>
          <w:rFonts w:asciiTheme="majorHAnsi" w:eastAsia="MS Gothic" w:hAnsiTheme="majorHAnsi" w:cstheme="majorHAnsi"/>
          <w:noProof w:val="0"/>
          <w:sz w:val="24"/>
        </w:rPr>
        <w:t>.</w:t>
      </w:r>
      <w:r w:rsidR="00072207">
        <w:rPr>
          <w:rFonts w:asciiTheme="majorHAnsi" w:eastAsia="MS Gothic" w:hAnsiTheme="majorHAnsi" w:cstheme="majorHAnsi"/>
          <w:noProof w:val="0"/>
          <w:sz w:val="24"/>
        </w:rPr>
        <w:t>2.5</w:t>
      </w:r>
      <w:r w:rsidR="00B92C04">
        <w:rPr>
          <w:rFonts w:asciiTheme="majorHAnsi" w:eastAsia="MS Gothic" w:hAnsiTheme="majorHAnsi" w:cstheme="majorHAnsi"/>
          <w:noProof w:val="0"/>
          <w:sz w:val="24"/>
        </w:rPr>
        <w:t>.3.2 Evaluation Results</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Default="00DD4444" w:rsidP="00A81622">
      <w:pPr>
        <w:pStyle w:val="Titre1"/>
      </w:pPr>
      <w:r w:rsidRPr="0073662B">
        <w:t>Introduction</w:t>
      </w:r>
    </w:p>
    <w:p w:rsidR="000C123C" w:rsidRDefault="00072207" w:rsidP="000C123C">
      <w:pPr>
        <w:rPr>
          <w:rFonts w:eastAsia="MS Mincho"/>
          <w:iCs/>
          <w:szCs w:val="20"/>
        </w:rPr>
      </w:pPr>
      <w:r>
        <w:rPr>
          <w:rFonts w:eastAsia="MS Mincho"/>
          <w:iCs/>
          <w:szCs w:val="20"/>
        </w:rPr>
        <w:t xml:space="preserve">In the latest RAN1#92 </w:t>
      </w:r>
      <w:r w:rsidR="00C07E46">
        <w:rPr>
          <w:rFonts w:eastAsia="MS Mincho"/>
          <w:iCs/>
          <w:szCs w:val="20"/>
        </w:rPr>
        <w:fldChar w:fldCharType="begin"/>
      </w:r>
      <w:r>
        <w:rPr>
          <w:rFonts w:eastAsia="MS Mincho"/>
          <w:iCs/>
          <w:szCs w:val="20"/>
        </w:rPr>
        <w:instrText xml:space="preserve"> REF _Ref510540828 \r \h </w:instrText>
      </w:r>
      <w:r w:rsidR="00C07E46">
        <w:rPr>
          <w:rFonts w:eastAsia="MS Mincho"/>
          <w:iCs/>
          <w:szCs w:val="20"/>
        </w:rPr>
      </w:r>
      <w:r w:rsidR="00C07E46">
        <w:rPr>
          <w:rFonts w:eastAsia="MS Mincho"/>
          <w:iCs/>
          <w:szCs w:val="20"/>
        </w:rPr>
        <w:fldChar w:fldCharType="separate"/>
      </w:r>
      <w:r w:rsidR="008D4EAE">
        <w:rPr>
          <w:rFonts w:eastAsia="MS Mincho"/>
          <w:iCs/>
          <w:szCs w:val="20"/>
        </w:rPr>
        <w:t>[1]</w:t>
      </w:r>
      <w:r w:rsidR="00C07E46">
        <w:rPr>
          <w:rFonts w:eastAsia="MS Mincho"/>
          <w:iCs/>
          <w:szCs w:val="20"/>
        </w:rPr>
        <w:fldChar w:fldCharType="end"/>
      </w:r>
      <w:r>
        <w:rPr>
          <w:rFonts w:eastAsia="MS Mincho"/>
          <w:iCs/>
          <w:szCs w:val="20"/>
        </w:rPr>
        <w:t xml:space="preserve"> there was </w:t>
      </w:r>
      <w:r w:rsidRPr="00E8270D">
        <w:rPr>
          <w:rFonts w:eastAsia="MS Mincho"/>
          <w:i/>
          <w:iCs/>
          <w:szCs w:val="20"/>
        </w:rPr>
        <w:t>no consensus to confirm the working assumption to adopt non-transparent transmit diversity, due to concerns on the impact on Rel-14 UEs with IRC receivers</w:t>
      </w:r>
      <w:r>
        <w:rPr>
          <w:rFonts w:eastAsia="MS Mincho"/>
          <w:iCs/>
          <w:szCs w:val="20"/>
        </w:rPr>
        <w:t xml:space="preserve">. Therefore, the following working assumptions from RAN1#91 </w:t>
      </w:r>
      <w:r w:rsidR="00C07E46">
        <w:rPr>
          <w:rFonts w:eastAsia="MS Mincho"/>
          <w:iCs/>
          <w:szCs w:val="20"/>
        </w:rPr>
        <w:fldChar w:fldCharType="begin"/>
      </w:r>
      <w:r>
        <w:rPr>
          <w:rFonts w:eastAsia="MS Mincho"/>
          <w:iCs/>
          <w:szCs w:val="20"/>
        </w:rPr>
        <w:instrText xml:space="preserve"> REF _Ref510540835 \r \h </w:instrText>
      </w:r>
      <w:r w:rsidR="00C07E46">
        <w:rPr>
          <w:rFonts w:eastAsia="MS Mincho"/>
          <w:iCs/>
          <w:szCs w:val="20"/>
        </w:rPr>
      </w:r>
      <w:r w:rsidR="00C07E46">
        <w:rPr>
          <w:rFonts w:eastAsia="MS Mincho"/>
          <w:iCs/>
          <w:szCs w:val="20"/>
        </w:rPr>
        <w:fldChar w:fldCharType="separate"/>
      </w:r>
      <w:r w:rsidR="008D4EAE">
        <w:rPr>
          <w:rFonts w:eastAsia="MS Mincho"/>
          <w:iCs/>
          <w:szCs w:val="20"/>
        </w:rPr>
        <w:t>[2]</w:t>
      </w:r>
      <w:r w:rsidR="00C07E46">
        <w:rPr>
          <w:rFonts w:eastAsia="MS Mincho"/>
          <w:iCs/>
          <w:szCs w:val="20"/>
        </w:rPr>
        <w:fldChar w:fldCharType="end"/>
      </w:r>
      <w:r>
        <w:rPr>
          <w:rFonts w:eastAsia="MS Mincho"/>
          <w:iCs/>
          <w:szCs w:val="20"/>
        </w:rPr>
        <w:t xml:space="preserve"> still stand:</w:t>
      </w:r>
    </w:p>
    <w:p w:rsidR="000C123C" w:rsidRPr="000C123C" w:rsidRDefault="000C123C" w:rsidP="00175C63">
      <w:pPr>
        <w:numPr>
          <w:ilvl w:val="0"/>
          <w:numId w:val="13"/>
        </w:numPr>
        <w:spacing w:after="0"/>
        <w:jc w:val="left"/>
        <w:rPr>
          <w:rFonts w:eastAsia="Yu Mincho"/>
          <w:i/>
          <w:sz w:val="20"/>
          <w:szCs w:val="20"/>
        </w:rPr>
      </w:pPr>
      <w:r w:rsidRPr="000C123C">
        <w:rPr>
          <w:rFonts w:eastAsia="Yu Mincho"/>
          <w:i/>
          <w:szCs w:val="20"/>
        </w:rPr>
        <w:t xml:space="preserve">Assuming the previous WA of introducing non-transparent transmit diversity is confirmed, for two-port non-transparent transmit diversity for PSSCH, downselect option 1 as WA among the following candidate schemes </w:t>
      </w:r>
    </w:p>
    <w:p w:rsidR="000C123C" w:rsidRPr="000C123C" w:rsidRDefault="000C123C" w:rsidP="00175C63">
      <w:pPr>
        <w:numPr>
          <w:ilvl w:val="1"/>
          <w:numId w:val="13"/>
        </w:numPr>
        <w:spacing w:after="0"/>
        <w:jc w:val="left"/>
        <w:rPr>
          <w:rFonts w:eastAsia="Yu Mincho"/>
          <w:i/>
          <w:szCs w:val="20"/>
        </w:rPr>
      </w:pPr>
      <w:r w:rsidRPr="000C123C">
        <w:rPr>
          <w:rFonts w:eastAsia="Yu Mincho"/>
          <w:i/>
          <w:szCs w:val="20"/>
          <w:highlight w:val="darkYellow"/>
        </w:rPr>
        <w:t>Working assumption:</w:t>
      </w:r>
      <w:r w:rsidRPr="000C123C">
        <w:rPr>
          <w:rFonts w:eastAsia="Yu Mincho"/>
          <w:i/>
          <w:szCs w:val="20"/>
        </w:rPr>
        <w:t xml:space="preserve"> Option 1: SFBC-based scheme (including PAPR preserving)</w:t>
      </w:r>
    </w:p>
    <w:p w:rsidR="000C123C" w:rsidRPr="000C123C" w:rsidRDefault="000C123C" w:rsidP="00175C63">
      <w:pPr>
        <w:numPr>
          <w:ilvl w:val="2"/>
          <w:numId w:val="13"/>
        </w:numPr>
        <w:spacing w:after="0"/>
        <w:jc w:val="left"/>
        <w:rPr>
          <w:rFonts w:eastAsia="Yu Mincho"/>
          <w:i/>
          <w:szCs w:val="20"/>
        </w:rPr>
      </w:pPr>
      <w:r w:rsidRPr="000C123C">
        <w:rPr>
          <w:rFonts w:eastAsia="Yu Mincho"/>
          <w:i/>
          <w:szCs w:val="20"/>
        </w:rPr>
        <w:t xml:space="preserve">FFS whether to apply slot-level PVS </w:t>
      </w:r>
    </w:p>
    <w:p w:rsidR="000C123C" w:rsidRPr="000C123C" w:rsidRDefault="000C123C" w:rsidP="00175C63">
      <w:pPr>
        <w:numPr>
          <w:ilvl w:val="1"/>
          <w:numId w:val="13"/>
        </w:numPr>
        <w:spacing w:after="0"/>
        <w:jc w:val="left"/>
        <w:rPr>
          <w:rFonts w:eastAsia="Yu Mincho"/>
          <w:i/>
          <w:szCs w:val="20"/>
        </w:rPr>
      </w:pPr>
      <w:r w:rsidRPr="000C123C">
        <w:rPr>
          <w:rFonts w:eastAsia="Yu Mincho"/>
          <w:i/>
          <w:szCs w:val="20"/>
        </w:rPr>
        <w:t>Option 2: STBC-based (including half symbol)</w:t>
      </w:r>
    </w:p>
    <w:p w:rsidR="000C123C" w:rsidRPr="000C123C" w:rsidRDefault="000C123C" w:rsidP="00072207">
      <w:pPr>
        <w:ind w:firstLine="720"/>
        <w:rPr>
          <w:rFonts w:eastAsia="Yu Mincho"/>
          <w:i/>
          <w:szCs w:val="20"/>
          <w:lang w:val="en-GB"/>
        </w:rPr>
      </w:pPr>
      <w:r w:rsidRPr="000C123C">
        <w:rPr>
          <w:rFonts w:eastAsia="Yu Mincho"/>
          <w:i/>
          <w:szCs w:val="20"/>
        </w:rPr>
        <w:t>Note: Companies are encouraged to perform evaluations for the above options</w:t>
      </w:r>
    </w:p>
    <w:p w:rsidR="000C123C" w:rsidRDefault="000C123C" w:rsidP="000C123C">
      <w:pPr>
        <w:rPr>
          <w:rFonts w:eastAsia="MS Mincho"/>
          <w:iCs/>
          <w:szCs w:val="20"/>
        </w:rPr>
      </w:pPr>
      <w:r w:rsidRPr="00145316">
        <w:rPr>
          <w:rFonts w:eastAsia="MS Mincho"/>
          <w:iCs/>
          <w:szCs w:val="20"/>
        </w:rPr>
        <w:t>In RAN1#90</w:t>
      </w:r>
      <w:r>
        <w:rPr>
          <w:rFonts w:eastAsia="MS Mincho"/>
          <w:iCs/>
          <w:szCs w:val="20"/>
        </w:rPr>
        <w:t xml:space="preserve">b </w:t>
      </w:r>
      <w:r w:rsidR="00C07E46">
        <w:rPr>
          <w:rFonts w:eastAsia="MS Mincho"/>
          <w:iCs/>
          <w:szCs w:val="20"/>
        </w:rPr>
        <w:fldChar w:fldCharType="begin"/>
      </w:r>
      <w:r>
        <w:rPr>
          <w:rFonts w:eastAsia="MS Mincho"/>
          <w:iCs/>
          <w:szCs w:val="20"/>
        </w:rPr>
        <w:instrText xml:space="preserve"> REF _Ref506373666 \r \h </w:instrText>
      </w:r>
      <w:r w:rsidR="00C07E46">
        <w:rPr>
          <w:rFonts w:eastAsia="MS Mincho"/>
          <w:iCs/>
          <w:szCs w:val="20"/>
        </w:rPr>
      </w:r>
      <w:r w:rsidR="00C07E46">
        <w:rPr>
          <w:rFonts w:eastAsia="MS Mincho"/>
          <w:iCs/>
          <w:szCs w:val="20"/>
        </w:rPr>
        <w:fldChar w:fldCharType="separate"/>
      </w:r>
      <w:r w:rsidR="008D4EAE">
        <w:rPr>
          <w:rFonts w:eastAsia="MS Mincho"/>
          <w:iCs/>
          <w:szCs w:val="20"/>
        </w:rPr>
        <w:t>[3]</w:t>
      </w:r>
      <w:r w:rsidR="00C07E46">
        <w:rPr>
          <w:rFonts w:eastAsia="MS Mincho"/>
          <w:iCs/>
          <w:szCs w:val="20"/>
        </w:rPr>
        <w:fldChar w:fldCharType="end"/>
      </w:r>
      <w:r>
        <w:rPr>
          <w:rFonts w:eastAsia="MS Mincho"/>
          <w:iCs/>
          <w:szCs w:val="20"/>
        </w:rPr>
        <w:t>, it was decided that</w:t>
      </w:r>
    </w:p>
    <w:p w:rsidR="000C123C" w:rsidRPr="000E0029" w:rsidRDefault="000C123C" w:rsidP="00175C63">
      <w:pPr>
        <w:numPr>
          <w:ilvl w:val="0"/>
          <w:numId w:val="12"/>
        </w:numPr>
        <w:spacing w:after="0"/>
        <w:jc w:val="left"/>
        <w:rPr>
          <w:i/>
        </w:rPr>
      </w:pPr>
      <w:r w:rsidRPr="000E0029">
        <w:rPr>
          <w:i/>
        </w:rPr>
        <w:t>For PSCCH, small delay CDD can be used on PSCCH</w:t>
      </w:r>
    </w:p>
    <w:p w:rsidR="000C123C" w:rsidRPr="000E0029" w:rsidRDefault="000C123C" w:rsidP="00175C63">
      <w:pPr>
        <w:numPr>
          <w:ilvl w:val="1"/>
          <w:numId w:val="12"/>
        </w:numPr>
        <w:spacing w:after="0"/>
        <w:jc w:val="left"/>
        <w:rPr>
          <w:i/>
        </w:rPr>
      </w:pPr>
      <w:r w:rsidRPr="000E0029">
        <w:rPr>
          <w:i/>
        </w:rPr>
        <w:t>FFS whether the cyclic delay value is specified or left for UE implementation</w:t>
      </w:r>
    </w:p>
    <w:p w:rsidR="0088621E" w:rsidRDefault="0088621E" w:rsidP="000F2286">
      <w:pPr>
        <w:rPr>
          <w:rFonts w:eastAsia="MS Mincho"/>
          <w:iCs/>
          <w:szCs w:val="20"/>
        </w:rPr>
      </w:pPr>
    </w:p>
    <w:p w:rsidR="000F2286" w:rsidRDefault="000F2286" w:rsidP="000F2286">
      <w:pPr>
        <w:rPr>
          <w:rFonts w:eastAsia="MS Mincho"/>
          <w:iCs/>
          <w:szCs w:val="20"/>
        </w:rPr>
      </w:pPr>
      <w:r w:rsidRPr="00145316">
        <w:rPr>
          <w:rFonts w:eastAsia="MS Mincho"/>
          <w:iCs/>
          <w:szCs w:val="20"/>
        </w:rPr>
        <w:t>In the RAN1#90</w:t>
      </w:r>
      <w:r>
        <w:rPr>
          <w:rFonts w:eastAsia="MS Mincho"/>
          <w:iCs/>
          <w:szCs w:val="20"/>
        </w:rPr>
        <w:t xml:space="preserve"> meeting </w:t>
      </w:r>
      <w:r w:rsidR="00C07E46">
        <w:rPr>
          <w:rFonts w:eastAsia="MS Mincho"/>
          <w:iCs/>
          <w:szCs w:val="20"/>
        </w:rPr>
        <w:fldChar w:fldCharType="begin"/>
      </w:r>
      <w:r w:rsidR="000C123C">
        <w:rPr>
          <w:rFonts w:eastAsia="MS Mincho"/>
          <w:iCs/>
          <w:szCs w:val="20"/>
        </w:rPr>
        <w:instrText xml:space="preserve"> REF _Ref506396281 \r \h </w:instrText>
      </w:r>
      <w:r w:rsidR="00C07E46">
        <w:rPr>
          <w:rFonts w:eastAsia="MS Mincho"/>
          <w:iCs/>
          <w:szCs w:val="20"/>
        </w:rPr>
      </w:r>
      <w:r w:rsidR="00C07E46">
        <w:rPr>
          <w:rFonts w:eastAsia="MS Mincho"/>
          <w:iCs/>
          <w:szCs w:val="20"/>
        </w:rPr>
        <w:fldChar w:fldCharType="separate"/>
      </w:r>
      <w:r w:rsidR="008D4EAE">
        <w:rPr>
          <w:rFonts w:eastAsia="MS Mincho"/>
          <w:iCs/>
          <w:szCs w:val="20"/>
        </w:rPr>
        <w:t>[4]</w:t>
      </w:r>
      <w:r w:rsidR="00C07E46">
        <w:rPr>
          <w:rFonts w:eastAsia="MS Mincho"/>
          <w:iCs/>
          <w:szCs w:val="20"/>
        </w:rPr>
        <w:fldChar w:fldCharType="end"/>
      </w:r>
      <w:r>
        <w:rPr>
          <w:rFonts w:eastAsia="MS Mincho"/>
          <w:iCs/>
          <w:szCs w:val="20"/>
        </w:rPr>
        <w:t xml:space="preserve"> the following </w:t>
      </w:r>
      <w:r w:rsidRPr="000C123C">
        <w:rPr>
          <w:rFonts w:eastAsia="MS Mincho"/>
          <w:iCs/>
          <w:szCs w:val="20"/>
          <w:highlight w:val="darkYellow"/>
        </w:rPr>
        <w:t>working assumption</w:t>
      </w:r>
      <w:r>
        <w:rPr>
          <w:rFonts w:eastAsia="MS Mincho"/>
          <w:iCs/>
          <w:szCs w:val="20"/>
        </w:rPr>
        <w:t xml:space="preserve"> was reached</w:t>
      </w:r>
      <w:r w:rsidR="00BF4876">
        <w:rPr>
          <w:rFonts w:eastAsia="MS Mincho"/>
          <w:iCs/>
          <w:szCs w:val="20"/>
        </w:rPr>
        <w:t xml:space="preserve"> for PSSCH</w:t>
      </w:r>
      <w:r>
        <w:rPr>
          <w:rFonts w:eastAsia="MS Mincho"/>
          <w:iCs/>
          <w:szCs w:val="20"/>
        </w:rPr>
        <w:t>:</w:t>
      </w:r>
    </w:p>
    <w:p w:rsidR="000F2286" w:rsidRPr="00D528CE" w:rsidRDefault="000F2286" w:rsidP="00175C63">
      <w:pPr>
        <w:numPr>
          <w:ilvl w:val="0"/>
          <w:numId w:val="9"/>
        </w:numPr>
        <w:tabs>
          <w:tab w:val="left" w:pos="1440"/>
        </w:tabs>
        <w:spacing w:after="0"/>
        <w:jc w:val="left"/>
        <w:rPr>
          <w:rFonts w:eastAsia="MS Mincho"/>
          <w:i/>
        </w:rPr>
      </w:pPr>
      <w:r w:rsidRPr="00D528CE">
        <w:rPr>
          <w:rFonts w:eastAsia="MS Mincho"/>
          <w:i/>
        </w:rPr>
        <w:t>For designing PSSCH, RAN1 assumes the use of two-port non-transparent transmit diversity</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 xml:space="preserve">The use of non-transparent transmit diversity is configured. </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Details, including diversity scheme, are FFS</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Support of transmission and/or reception up to UE capability</w:t>
      </w:r>
    </w:p>
    <w:p w:rsidR="000F2286" w:rsidRPr="00D528CE" w:rsidRDefault="000F2286" w:rsidP="00175C63">
      <w:pPr>
        <w:numPr>
          <w:ilvl w:val="2"/>
          <w:numId w:val="9"/>
        </w:numPr>
        <w:tabs>
          <w:tab w:val="left" w:pos="1440"/>
        </w:tabs>
        <w:spacing w:after="0"/>
        <w:jc w:val="left"/>
        <w:rPr>
          <w:rFonts w:eastAsia="MS Mincho"/>
          <w:i/>
        </w:rPr>
      </w:pPr>
      <w:r w:rsidRPr="00D528CE">
        <w:rPr>
          <w:rFonts w:eastAsia="MS Mincho"/>
          <w:i/>
        </w:rPr>
        <w:t>Note: It is RAN1 understanding that requirements on capabilities can be set at regional level and are outside 3GPP scope</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Send LS to RAN4 to ask their opinion about when non-transparent scheme for transmit diversity is used by Rel-15 UEs:</w:t>
      </w:r>
    </w:p>
    <w:p w:rsidR="000F2286" w:rsidRPr="00D528CE" w:rsidRDefault="000F2286" w:rsidP="00175C63">
      <w:pPr>
        <w:numPr>
          <w:ilvl w:val="2"/>
          <w:numId w:val="9"/>
        </w:numPr>
        <w:tabs>
          <w:tab w:val="left" w:pos="1440"/>
        </w:tabs>
        <w:spacing w:after="0"/>
        <w:jc w:val="left"/>
        <w:rPr>
          <w:rFonts w:eastAsia="MS Mincho"/>
          <w:i/>
        </w:rPr>
      </w:pPr>
      <w:r w:rsidRPr="00D528CE">
        <w:rPr>
          <w:rFonts w:eastAsia="MS Mincho"/>
          <w:i/>
        </w:rPr>
        <w:t>Impact on Rel-14 UEs of PSSCH-RSRP measurement accuracy</w:t>
      </w:r>
    </w:p>
    <w:p w:rsidR="000F2286" w:rsidRPr="00D528CE" w:rsidRDefault="000F2286" w:rsidP="00175C63">
      <w:pPr>
        <w:numPr>
          <w:ilvl w:val="2"/>
          <w:numId w:val="9"/>
        </w:numPr>
        <w:tabs>
          <w:tab w:val="left" w:pos="1440"/>
        </w:tabs>
        <w:spacing w:after="0"/>
        <w:jc w:val="left"/>
        <w:rPr>
          <w:rFonts w:eastAsia="MS Mincho"/>
          <w:i/>
        </w:rPr>
      </w:pPr>
      <w:r w:rsidRPr="00D528CE">
        <w:rPr>
          <w:rFonts w:eastAsia="MS Mincho"/>
          <w:i/>
        </w:rPr>
        <w:t>MPR for Rel-15 UEs</w:t>
      </w:r>
    </w:p>
    <w:p w:rsidR="000F2286" w:rsidRPr="00D528CE" w:rsidRDefault="000F2286" w:rsidP="00175C63">
      <w:pPr>
        <w:numPr>
          <w:ilvl w:val="0"/>
          <w:numId w:val="9"/>
        </w:numPr>
        <w:tabs>
          <w:tab w:val="left" w:pos="1440"/>
        </w:tabs>
        <w:spacing w:after="0"/>
        <w:jc w:val="left"/>
        <w:rPr>
          <w:rFonts w:eastAsia="MS Mincho"/>
          <w:i/>
        </w:rPr>
      </w:pPr>
      <w:r w:rsidRPr="00D528CE">
        <w:rPr>
          <w:rFonts w:eastAsia="MS Mincho"/>
          <w:i/>
        </w:rPr>
        <w:t>Non-transparent Transmit diversity is not used in the following cases:</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When communicating with Rel-14 UEs</w:t>
      </w:r>
    </w:p>
    <w:p w:rsidR="000F2286" w:rsidRPr="00D528CE" w:rsidRDefault="000F2286" w:rsidP="00175C63">
      <w:pPr>
        <w:numPr>
          <w:ilvl w:val="1"/>
          <w:numId w:val="9"/>
        </w:numPr>
        <w:tabs>
          <w:tab w:val="left" w:pos="1440"/>
        </w:tabs>
        <w:spacing w:after="0"/>
        <w:jc w:val="left"/>
        <w:rPr>
          <w:rFonts w:eastAsia="MS Mincho"/>
          <w:i/>
        </w:rPr>
      </w:pPr>
      <w:r w:rsidRPr="00D528CE">
        <w:rPr>
          <w:rFonts w:eastAsia="MS Mincho"/>
          <w:i/>
        </w:rPr>
        <w:t>When there is a high probability of resource collision with Rel-14 UEs</w:t>
      </w:r>
    </w:p>
    <w:p w:rsidR="000F2286" w:rsidRPr="00D528CE" w:rsidRDefault="000F2286" w:rsidP="00175C63">
      <w:pPr>
        <w:numPr>
          <w:ilvl w:val="0"/>
          <w:numId w:val="9"/>
        </w:numPr>
        <w:tabs>
          <w:tab w:val="left" w:pos="1440"/>
        </w:tabs>
        <w:spacing w:after="0"/>
        <w:jc w:val="left"/>
        <w:rPr>
          <w:rFonts w:eastAsia="MS Mincho"/>
          <w:i/>
        </w:rPr>
      </w:pPr>
      <w:r w:rsidRPr="00D528CE">
        <w:rPr>
          <w:rFonts w:eastAsia="MS Mincho"/>
          <w:i/>
        </w:rPr>
        <w:t>Note: Some companies observe that the performance of MMSE-IRC receiver degrades when a non-transparent Transmit diversity scheme is used in interference limited scenarios with a dominant interferer</w:t>
      </w:r>
    </w:p>
    <w:p w:rsidR="0088621E" w:rsidRDefault="0088621E" w:rsidP="0051424C">
      <w:pPr>
        <w:rPr>
          <w:rFonts w:eastAsia="MS Mincho"/>
          <w:iCs/>
          <w:szCs w:val="20"/>
        </w:rPr>
      </w:pPr>
    </w:p>
    <w:p w:rsidR="002B4B53" w:rsidRDefault="000F2286" w:rsidP="0051424C">
      <w:pPr>
        <w:rPr>
          <w:rFonts w:eastAsia="MS Mincho"/>
          <w:iCs/>
          <w:szCs w:val="20"/>
        </w:rPr>
      </w:pPr>
      <w:r>
        <w:rPr>
          <w:rFonts w:eastAsia="MS Mincho"/>
          <w:iCs/>
          <w:szCs w:val="20"/>
        </w:rPr>
        <w:t xml:space="preserve">In RAN1#88b </w:t>
      </w:r>
      <w:r w:rsidR="00C07E46">
        <w:rPr>
          <w:rFonts w:eastAsia="MS Mincho"/>
          <w:iCs/>
          <w:szCs w:val="20"/>
        </w:rPr>
        <w:fldChar w:fldCharType="begin"/>
      </w:r>
      <w:r>
        <w:rPr>
          <w:rFonts w:eastAsia="MS Mincho"/>
          <w:iCs/>
          <w:szCs w:val="20"/>
        </w:rPr>
        <w:instrText xml:space="preserve"> REF _Ref484187793 \r \h </w:instrText>
      </w:r>
      <w:r w:rsidR="00C07E46">
        <w:rPr>
          <w:rFonts w:eastAsia="MS Mincho"/>
          <w:iCs/>
          <w:szCs w:val="20"/>
        </w:rPr>
      </w:r>
      <w:r w:rsidR="00C07E46">
        <w:rPr>
          <w:rFonts w:eastAsia="MS Mincho"/>
          <w:iCs/>
          <w:szCs w:val="20"/>
        </w:rPr>
        <w:fldChar w:fldCharType="separate"/>
      </w:r>
      <w:r w:rsidR="008D4EAE">
        <w:rPr>
          <w:rFonts w:eastAsia="MS Mincho"/>
          <w:iCs/>
          <w:szCs w:val="20"/>
        </w:rPr>
        <w:t>[5]</w:t>
      </w:r>
      <w:r w:rsidR="00C07E46">
        <w:rPr>
          <w:rFonts w:eastAsia="MS Mincho"/>
          <w:iCs/>
          <w:szCs w:val="20"/>
        </w:rPr>
        <w:fldChar w:fldCharType="end"/>
      </w:r>
      <w:r>
        <w:rPr>
          <w:rFonts w:eastAsia="MS Mincho"/>
          <w:iCs/>
          <w:szCs w:val="20"/>
        </w:rPr>
        <w:t>, simulation assumption agreements have been made to set up the simulation scenarios for transmit diversity candidates for PSSCH and PSCCH.</w:t>
      </w:r>
    </w:p>
    <w:p w:rsidR="000F2286" w:rsidRPr="000F2286" w:rsidRDefault="000F2286" w:rsidP="00175C63">
      <w:pPr>
        <w:pStyle w:val="Paragraphedeliste"/>
        <w:numPr>
          <w:ilvl w:val="0"/>
          <w:numId w:val="10"/>
        </w:numPr>
        <w:overflowPunct w:val="0"/>
        <w:autoSpaceDE w:val="0"/>
        <w:autoSpaceDN w:val="0"/>
        <w:spacing w:after="60"/>
        <w:ind w:leftChars="0"/>
        <w:rPr>
          <w:i/>
        </w:rPr>
      </w:pPr>
      <w:r w:rsidRPr="000F2286">
        <w:rPr>
          <w:i/>
        </w:rPr>
        <w:t xml:space="preserve">For the </w:t>
      </w:r>
      <w:r w:rsidRPr="000F2286">
        <w:rPr>
          <w:i/>
          <w:iCs/>
          <w:lang w:eastAsia="zh-CN"/>
        </w:rPr>
        <w:t>design</w:t>
      </w:r>
      <w:r w:rsidRPr="000F2286">
        <w:rPr>
          <w:i/>
        </w:rPr>
        <w:t xml:space="preserve"> and feasibility of TxD schemes in Rel-15 PC5 operation, the CM increase per antenna over single antenna port transmission of Rel-14 is considered.</w:t>
      </w:r>
    </w:p>
    <w:p w:rsidR="000F2286" w:rsidRPr="000F2286" w:rsidRDefault="000F2286" w:rsidP="00175C63">
      <w:pPr>
        <w:pStyle w:val="Paragraphedeliste"/>
        <w:numPr>
          <w:ilvl w:val="0"/>
          <w:numId w:val="10"/>
        </w:numPr>
        <w:overflowPunct w:val="0"/>
        <w:autoSpaceDE w:val="0"/>
        <w:autoSpaceDN w:val="0"/>
        <w:spacing w:after="60"/>
        <w:ind w:leftChars="0"/>
        <w:rPr>
          <w:i/>
        </w:rPr>
      </w:pPr>
      <w:r w:rsidRPr="000F2286">
        <w:rPr>
          <w:i/>
        </w:rPr>
        <w:t>For</w:t>
      </w:r>
      <w:r w:rsidRPr="000F2286">
        <w:rPr>
          <w:rFonts w:eastAsia="MS Mincho"/>
          <w:i/>
          <w:iCs/>
        </w:rPr>
        <w:t xml:space="preserve"> </w:t>
      </w:r>
      <w:r w:rsidRPr="000F2286">
        <w:rPr>
          <w:i/>
        </w:rPr>
        <w:t>link</w:t>
      </w:r>
      <w:r w:rsidRPr="000F2286">
        <w:rPr>
          <w:rFonts w:eastAsia="MS Mincho"/>
          <w:i/>
          <w:iCs/>
        </w:rPr>
        <w:t xml:space="preserve"> </w:t>
      </w:r>
      <w:r w:rsidRPr="000F2286">
        <w:rPr>
          <w:i/>
          <w:iCs/>
          <w:lang w:eastAsia="zh-CN"/>
        </w:rPr>
        <w:t>level</w:t>
      </w:r>
      <w:r w:rsidRPr="000F2286">
        <w:rPr>
          <w:rFonts w:eastAsia="MS Mincho"/>
          <w:i/>
          <w:iCs/>
        </w:rPr>
        <w:t xml:space="preserve"> </w:t>
      </w:r>
      <w:r w:rsidRPr="000F2286">
        <w:rPr>
          <w:i/>
          <w:iCs/>
          <w:lang w:eastAsia="zh-CN"/>
        </w:rPr>
        <w:t>simulation</w:t>
      </w:r>
      <w:r w:rsidRPr="000F2286">
        <w:rPr>
          <w:rFonts w:eastAsia="MS Mincho"/>
          <w:i/>
          <w:iCs/>
        </w:rPr>
        <w:t xml:space="preserve"> (SNR vs. BLER) to investigate TxD gains for performance of V2X is applied for PSSCH and PSCCH.</w:t>
      </w:r>
    </w:p>
    <w:tbl>
      <w:tblPr>
        <w:tblW w:w="7920" w:type="dxa"/>
        <w:jc w:val="center"/>
        <w:tblCellMar>
          <w:left w:w="0" w:type="dxa"/>
          <w:right w:w="0" w:type="dxa"/>
        </w:tblCellMar>
        <w:tblLook w:val="0600" w:firstRow="0" w:lastRow="0" w:firstColumn="0" w:lastColumn="0" w:noHBand="1" w:noVBand="1"/>
      </w:tblPr>
      <w:tblGrid>
        <w:gridCol w:w="2268"/>
        <w:gridCol w:w="5652"/>
      </w:tblGrid>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lastRenderedPageBreak/>
              <w:t>Parameters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b/>
                <w:bCs/>
                <w:i/>
                <w:iCs/>
              </w:rPr>
              <w:t>Value</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Carrier frequency</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6GHz</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 xml:space="preserve">Antenna number </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2 x 2</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Channel model</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LOS/NLOS in TR36.885 (linear polarization, half-lambda spacing)</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Vehicle speed (absolute)</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15 km/h, 140km/h, 250km/h, 60 km/h optional</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MCS</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QPSK ½, 16QAM ½</w:t>
            </w:r>
          </w:p>
        </w:tc>
      </w:tr>
      <w:tr w:rsidR="000F2286" w:rsidRPr="000F2286" w:rsidTr="00CF59A7">
        <w:trPr>
          <w:trHeight w:val="29"/>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Payload size for PSSCH</w:t>
            </w:r>
          </w:p>
        </w:tc>
        <w:tc>
          <w:tcPr>
            <w:tcW w:w="56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F2286" w:rsidRPr="000F2286" w:rsidRDefault="000F2286" w:rsidP="00CF59A7">
            <w:pPr>
              <w:spacing w:after="0"/>
              <w:rPr>
                <w:rFonts w:eastAsia="MS Mincho"/>
                <w:i/>
                <w:iCs/>
              </w:rPr>
            </w:pPr>
            <w:r w:rsidRPr="000F2286">
              <w:rPr>
                <w:rFonts w:eastAsia="MS Mincho"/>
                <w:i/>
                <w:iCs/>
              </w:rPr>
              <w:t>300 bytes, 190 bytes</w:t>
            </w:r>
          </w:p>
        </w:tc>
      </w:tr>
    </w:tbl>
    <w:p w:rsidR="000F2286" w:rsidRPr="000F2286" w:rsidRDefault="000F2286" w:rsidP="00175C63">
      <w:pPr>
        <w:pStyle w:val="Paragraphedeliste"/>
        <w:numPr>
          <w:ilvl w:val="0"/>
          <w:numId w:val="10"/>
        </w:numPr>
        <w:overflowPunct w:val="0"/>
        <w:autoSpaceDE w:val="0"/>
        <w:autoSpaceDN w:val="0"/>
        <w:spacing w:after="60"/>
        <w:ind w:leftChars="0"/>
        <w:rPr>
          <w:rFonts w:eastAsia="MS Mincho"/>
          <w:i/>
          <w:iCs/>
        </w:rPr>
      </w:pPr>
      <w:r w:rsidRPr="000F2286">
        <w:rPr>
          <w:rFonts w:eastAsia="MS Mincho"/>
          <w:i/>
          <w:iCs/>
        </w:rPr>
        <w:t xml:space="preserve">Frequency </w:t>
      </w:r>
      <w:r w:rsidRPr="000F2286">
        <w:rPr>
          <w:i/>
        </w:rPr>
        <w:t>offset</w:t>
      </w:r>
      <w:r w:rsidRPr="000F2286">
        <w:rPr>
          <w:rFonts w:eastAsia="MS Mincho"/>
          <w:i/>
          <w:iCs/>
        </w:rPr>
        <w:t xml:space="preserve"> modelled as in TR36.885</w:t>
      </w:r>
    </w:p>
    <w:p w:rsidR="005D29FA" w:rsidRDefault="00D47F8C" w:rsidP="000F2286">
      <w:r>
        <w:t xml:space="preserve">This contribution provides link level simulations showing the benefit of using PAPR-preserving SC-SFBC </w:t>
      </w:r>
      <w:r w:rsidR="00C07E46">
        <w:fldChar w:fldCharType="begin"/>
      </w:r>
      <w:r>
        <w:instrText xml:space="preserve"> REF _Ref492582194 \r \h </w:instrText>
      </w:r>
      <w:r w:rsidR="00C07E46">
        <w:fldChar w:fldCharType="separate"/>
      </w:r>
      <w:r w:rsidR="008D4EAE">
        <w:t>[6]</w:t>
      </w:r>
      <w:r w:rsidR="00C07E46">
        <w:fldChar w:fldCharType="end"/>
      </w:r>
      <w:r>
        <w:t xml:space="preserve"> for sidelink communications.</w:t>
      </w:r>
      <w:r w:rsidR="0021555E">
        <w:t xml:space="preserve"> Our companion contribution </w:t>
      </w:r>
      <w:r w:rsidR="00C07E46">
        <w:fldChar w:fldCharType="begin"/>
      </w:r>
      <w:r w:rsidR="0021555E">
        <w:instrText xml:space="preserve"> REF _Ref494406673 \r \h </w:instrText>
      </w:r>
      <w:r w:rsidR="00C07E46">
        <w:fldChar w:fldCharType="separate"/>
      </w:r>
      <w:r w:rsidR="008D4EAE">
        <w:t>[7]</w:t>
      </w:r>
      <w:r w:rsidR="00C07E46">
        <w:fldChar w:fldCharType="end"/>
      </w:r>
      <w:r w:rsidR="0021555E">
        <w:t xml:space="preserve"> provides detailed description of candidate schemes</w:t>
      </w:r>
      <w:r w:rsidR="00AD2A97">
        <w:t>, their pros and cons, and a complexity comparison</w:t>
      </w:r>
      <w:r w:rsidR="0021555E">
        <w:t>.</w:t>
      </w:r>
      <w:r w:rsidR="0088621E">
        <w:t xml:space="preserve"> </w:t>
      </w:r>
      <w:r w:rsidR="00AD2A97" w:rsidRPr="009D3989">
        <w:t xml:space="preserve">This contribution is revised from </w:t>
      </w:r>
      <w:r w:rsidR="001012F8" w:rsidRPr="005D29FA">
        <w:t>R1-1802251</w:t>
      </w:r>
      <w:r w:rsidR="001012F8">
        <w:t xml:space="preserve"> </w:t>
      </w:r>
      <w:r w:rsidR="00C07E46">
        <w:fldChar w:fldCharType="begin"/>
      </w:r>
      <w:r w:rsidR="001012F8">
        <w:instrText xml:space="preserve"> REF _Ref510541728 \r \h </w:instrText>
      </w:r>
      <w:r w:rsidR="00C07E46">
        <w:fldChar w:fldCharType="separate"/>
      </w:r>
      <w:r w:rsidR="008D4EAE">
        <w:t>[8]</w:t>
      </w:r>
      <w:r w:rsidR="00C07E46">
        <w:fldChar w:fldCharType="end"/>
      </w:r>
      <w:r w:rsidR="001012F8">
        <w:t>.</w:t>
      </w:r>
    </w:p>
    <w:p w:rsidR="00A81622" w:rsidRPr="009D3989" w:rsidRDefault="00A81622" w:rsidP="00A81622">
      <w:pPr>
        <w:pBdr>
          <w:bottom w:val="single" w:sz="12" w:space="1" w:color="auto"/>
        </w:pBdr>
      </w:pPr>
    </w:p>
    <w:p w:rsidR="00EA0674" w:rsidRPr="009D3989" w:rsidRDefault="0021555E" w:rsidP="00A81622">
      <w:pPr>
        <w:pStyle w:val="Titre1"/>
      </w:pPr>
      <w:r w:rsidRPr="009D3989">
        <w:t>Performance evaluations</w:t>
      </w:r>
    </w:p>
    <w:p w:rsidR="00AB53DB" w:rsidRPr="0073662B" w:rsidRDefault="00B84A0B" w:rsidP="00A81622">
      <w:r w:rsidRPr="009D3989">
        <w:t xml:space="preserve">In </w:t>
      </w:r>
      <w:r w:rsidR="00242062">
        <w:fldChar w:fldCharType="begin"/>
      </w:r>
      <w:r w:rsidR="00242062">
        <w:instrText xml:space="preserve"> REF _Ref494384543 \r \h  \* MERGEFORMAT </w:instrText>
      </w:r>
      <w:r w:rsidR="00242062">
        <w:fldChar w:fldCharType="separate"/>
      </w:r>
      <w:r w:rsidR="008D4EAE">
        <w:t>[9]</w:t>
      </w:r>
      <w:r w:rsidR="00242062">
        <w:fldChar w:fldCharType="end"/>
      </w:r>
      <w:r w:rsidRPr="009D3989">
        <w:t>, thorough performance comparison among</w:t>
      </w:r>
      <w:r w:rsidR="00A44684" w:rsidRPr="009D3989">
        <w:t xml:space="preserve"> </w:t>
      </w:r>
      <w:r w:rsidRPr="009D3989">
        <w:t>Alamouti-based transmit diversity (PAPR preserving SFBC, split symbol STBC), short delay CDD, and d</w:t>
      </w:r>
      <w:r w:rsidR="003D19BD" w:rsidRPr="009D3989">
        <w:t>ifferent types of time-domain P</w:t>
      </w:r>
      <w:r w:rsidRPr="009D3989">
        <w:t>V</w:t>
      </w:r>
      <w:r w:rsidR="003D19BD" w:rsidRPr="009D3989">
        <w:t>S</w:t>
      </w:r>
      <w:r w:rsidRPr="009D3989">
        <w:t xml:space="preserve"> (e.g. antenna port switching) is conducted in NR context in a large number of scenarios.</w:t>
      </w:r>
    </w:p>
    <w:p w:rsidR="00C445BD" w:rsidRDefault="001012F8" w:rsidP="00A81622">
      <w:r w:rsidRPr="009D3989">
        <w:t xml:space="preserve">In the </w:t>
      </w:r>
      <w:r>
        <w:t xml:space="preserve">current </w:t>
      </w:r>
      <w:r w:rsidRPr="009D3989">
        <w:t xml:space="preserve">contribution we investigate the following candidate techniques for sidelink communication: PAPR preserving SFBC, </w:t>
      </w:r>
      <w:r>
        <w:t>SFBC</w:t>
      </w:r>
      <w:r w:rsidRPr="009D3989">
        <w:t xml:space="preserve">, </w:t>
      </w:r>
      <w:r>
        <w:t>short delay CDD</w:t>
      </w:r>
      <w:r w:rsidRPr="009D3989">
        <w:t>, SIMO reference.</w:t>
      </w:r>
    </w:p>
    <w:p w:rsidR="001012F8" w:rsidRPr="0073662B" w:rsidRDefault="001012F8" w:rsidP="00A81622"/>
    <w:p w:rsidR="00F65FEC" w:rsidRPr="0073662B" w:rsidRDefault="00EA3318" w:rsidP="00A47724">
      <w:pPr>
        <w:pStyle w:val="Titre2"/>
      </w:pPr>
      <w:r>
        <w:t xml:space="preserve">Low PAPR </w:t>
      </w:r>
      <w:r w:rsidR="0021555E">
        <w:t>SC-SFBC</w:t>
      </w:r>
      <w:r w:rsidR="00B84A0B">
        <w:t xml:space="preserve"> brief review</w:t>
      </w:r>
    </w:p>
    <w:p w:rsidR="00AD2A97" w:rsidRDefault="00E74F8A" w:rsidP="00965FE1">
      <w:r w:rsidRPr="0073662B">
        <w:t xml:space="preserve">PAPR-preserving SFBC has already been discussed in the literature </w:t>
      </w:r>
      <w:r w:rsidR="00242062">
        <w:fldChar w:fldCharType="begin"/>
      </w:r>
      <w:r w:rsidR="00242062">
        <w:instrText xml:space="preserve"> REF _Ref468984773 \r \h  \* MERGEFORMAT </w:instrText>
      </w:r>
      <w:r w:rsidR="00242062">
        <w:fldChar w:fldCharType="separate"/>
      </w:r>
      <w:r w:rsidR="008D4EAE">
        <w:t>[6]</w:t>
      </w:r>
      <w:r w:rsidR="00242062">
        <w:fldChar w:fldCharType="end"/>
      </w:r>
      <w:r w:rsidR="00CC2771">
        <w:t xml:space="preserve"> and thoroughly described in our </w:t>
      </w:r>
      <w:r w:rsidR="0021555E">
        <w:t xml:space="preserve">companion contribution </w:t>
      </w:r>
      <w:r w:rsidR="00C07E46">
        <w:fldChar w:fldCharType="begin"/>
      </w:r>
      <w:r w:rsidR="0021555E">
        <w:instrText xml:space="preserve"> REF _Ref494406673 \r \h </w:instrText>
      </w:r>
      <w:r w:rsidR="00C07E46">
        <w:fldChar w:fldCharType="separate"/>
      </w:r>
      <w:r w:rsidR="008D4EAE">
        <w:t>[7]</w:t>
      </w:r>
      <w:r w:rsidR="00C07E46">
        <w:fldChar w:fldCharType="end"/>
      </w:r>
      <w:r w:rsidR="0021555E">
        <w:t xml:space="preserve">. It </w:t>
      </w:r>
      <w:r w:rsidR="00AD2A97">
        <w:t>has also been investigated</w:t>
      </w:r>
      <w:r w:rsidR="0021555E">
        <w:t xml:space="preserve"> for both PUSCH </w:t>
      </w:r>
      <w:r w:rsidR="00C07E46">
        <w:fldChar w:fldCharType="begin"/>
      </w:r>
      <w:r w:rsidR="0021555E">
        <w:instrText xml:space="preserve"> REF _Ref494384543 \r \h </w:instrText>
      </w:r>
      <w:r w:rsidR="00C07E46">
        <w:fldChar w:fldCharType="separate"/>
      </w:r>
      <w:r w:rsidR="008D4EAE">
        <w:t>[9]</w:t>
      </w:r>
      <w:r w:rsidR="00C07E46">
        <w:fldChar w:fldCharType="end"/>
      </w:r>
      <w:r w:rsidR="0021555E">
        <w:t xml:space="preserve"> and PUCCH </w:t>
      </w:r>
      <w:r w:rsidR="00C07E46">
        <w:fldChar w:fldCharType="begin"/>
      </w:r>
      <w:r w:rsidR="0021555E">
        <w:instrText xml:space="preserve"> REF _Ref494384545 \r \h </w:instrText>
      </w:r>
      <w:r w:rsidR="00C07E46">
        <w:fldChar w:fldCharType="separate"/>
      </w:r>
      <w:r w:rsidR="008D4EAE">
        <w:t>[10]</w:t>
      </w:r>
      <w:r w:rsidR="00C07E46">
        <w:fldChar w:fldCharType="end"/>
      </w:r>
      <w:r w:rsidR="0021555E">
        <w:t xml:space="preserve"> based on DFTsOFDM</w:t>
      </w:r>
      <w:r w:rsidR="00AD2A97" w:rsidRPr="00AD2A97">
        <w:t xml:space="preserve"> </w:t>
      </w:r>
      <w:r w:rsidR="00AD2A97">
        <w:t>in an NR context, where the discussion on transmit diversity was postponed until after having finalized the critical corrections to the Rel. 15 Early Drop</w:t>
      </w:r>
      <w:r w:rsidR="0021555E">
        <w:t xml:space="preserve">. </w:t>
      </w:r>
    </w:p>
    <w:p w:rsidR="00965FE1" w:rsidRPr="0073662B" w:rsidRDefault="00E74F8A" w:rsidP="00965FE1">
      <w:r w:rsidRPr="0073662B">
        <w:t>Alamouti precoding is applied at subcarrier level, after DFT precoding</w:t>
      </w:r>
      <w:r w:rsidR="00BD3F81">
        <w:t xml:space="preserve">, </w:t>
      </w:r>
      <w:r w:rsidRPr="0073662B">
        <w:t xml:space="preserve">as it can be seen in </w:t>
      </w:r>
      <w:r w:rsidR="00242062">
        <w:fldChar w:fldCharType="begin"/>
      </w:r>
      <w:r w:rsidR="00242062">
        <w:instrText xml:space="preserve"> REF _Ref468985453 \h  \* MERGEFORMAT </w:instrText>
      </w:r>
      <w:r w:rsidR="00242062">
        <w:fldChar w:fldCharType="separate"/>
      </w:r>
      <w:r w:rsidR="008D4EAE" w:rsidRPr="0073662B">
        <w:t xml:space="preserve">Figure </w:t>
      </w:r>
      <w:r w:rsidR="008D4EAE">
        <w:t>1</w:t>
      </w:r>
      <w:r w:rsidR="00242062">
        <w:fldChar w:fldCharType="end"/>
      </w:r>
      <w:r w:rsidRPr="0073662B">
        <w:t>. Alamouti precoded symbols can be mapped onto non-adjacent subcarriers</w:t>
      </w:r>
      <w:r w:rsidR="00BD3F81" w:rsidRPr="0073662B">
        <w:rPr>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8.8pt" o:ole="">
            <v:imagedata r:id="rId8" o:title=""/>
          </v:shape>
          <o:OLEObject Type="Embed" ProgID="Equation.DSMT4" ShapeID="_x0000_i1025" DrawAspect="Content" ObjectID="_1584555812" r:id="rId9"/>
        </w:object>
      </w:r>
      <w:r w:rsidR="00BD3F81" w:rsidRPr="0073662B">
        <w:t xml:space="preserve">and </w:t>
      </w:r>
      <w:r w:rsidR="00BD3F81" w:rsidRPr="0073662B">
        <w:rPr>
          <w:position w:val="-14"/>
        </w:rPr>
        <w:object w:dxaOrig="2280" w:dyaOrig="400">
          <v:shape id="_x0000_i1026" type="#_x0000_t75" style="width:113.9pt;height:20.4pt" o:ole="">
            <v:imagedata r:id="rId10" o:title=""/>
          </v:shape>
          <o:OLEObject Type="Embed" ProgID="Equation.DSMT4" ShapeID="_x0000_i1026" DrawAspect="Content" ObjectID="_1584555813" r:id="rId11"/>
        </w:object>
      </w:r>
      <w:r w:rsidRPr="0073662B">
        <w:t xml:space="preserve"> in such a way that PAPR is </w:t>
      </w:r>
      <w:r w:rsidR="00EA4BE5" w:rsidRPr="0073662B">
        <w:t>pre</w:t>
      </w:r>
      <w:r w:rsidRPr="0073662B">
        <w:t>served</w:t>
      </w:r>
      <w:r w:rsidR="00BD3F81">
        <w:t xml:space="preserve">, as in </w:t>
      </w:r>
      <w:r w:rsidR="00242062">
        <w:fldChar w:fldCharType="begin"/>
      </w:r>
      <w:r w:rsidR="00242062">
        <w:instrText xml:space="preserve"> REF _Ref468985465 \h  \* MERGEFORMAT </w:instrText>
      </w:r>
      <w:r w:rsidR="00242062">
        <w:fldChar w:fldCharType="separate"/>
      </w:r>
      <w:r w:rsidR="008D4EAE" w:rsidRPr="0073662B">
        <w:t xml:space="preserve">Figure </w:t>
      </w:r>
      <w:r w:rsidR="008D4EAE">
        <w:t>2</w:t>
      </w:r>
      <w:r w:rsidR="00242062">
        <w:fldChar w:fldCharType="end"/>
      </w:r>
      <w:r w:rsidR="0041189B" w:rsidRPr="0073662B">
        <w:t xml:space="preserve">. </w:t>
      </w:r>
      <w:r w:rsidR="0041189B" w:rsidRPr="0073662B">
        <w:rPr>
          <w:i/>
        </w:rPr>
        <w:t>M</w:t>
      </w:r>
      <w:r w:rsidR="0041189B" w:rsidRPr="0073662B">
        <w:t xml:space="preserve"> is the number of allocated subcarriers (DFT precoder size) and </w:t>
      </w:r>
      <w:r w:rsidR="0041189B" w:rsidRPr="0073662B">
        <w:rPr>
          <w:i/>
        </w:rPr>
        <w:t>p</w:t>
      </w:r>
      <w:r w:rsidR="0041189B" w:rsidRPr="0073662B">
        <w:t xml:space="preserve"> is an even integer, usually chosen as closes</w:t>
      </w:r>
      <w:r w:rsidR="00970589" w:rsidRPr="0073662B">
        <w:t>t</w:t>
      </w:r>
      <w:r w:rsidR="0041189B" w:rsidRPr="0073662B">
        <w:t xml:space="preserve"> possible to </w:t>
      </w:r>
      <w:r w:rsidR="0041189B" w:rsidRPr="0073662B">
        <w:rPr>
          <w:i/>
        </w:rPr>
        <w:t>M</w:t>
      </w:r>
      <w:r w:rsidR="0041189B" w:rsidRPr="0073662B">
        <w:t xml:space="preserve">/2 to minimize the distance between subcarriers carrying Alamouti precoded pairs. This PAPR-preserving SFBC is called SC-SFBC </w:t>
      </w:r>
      <w:r w:rsidR="00242062">
        <w:fldChar w:fldCharType="begin"/>
      </w:r>
      <w:r w:rsidR="00242062">
        <w:instrText xml:space="preserve"> REF _Ref468984773 \r \h  \* MERGEFORMAT </w:instrText>
      </w:r>
      <w:r w:rsidR="00242062">
        <w:fldChar w:fldCharType="separate"/>
      </w:r>
      <w:r w:rsidR="008D4EAE">
        <w:t>[6]</w:t>
      </w:r>
      <w:r w:rsidR="00242062">
        <w:fldChar w:fldCharType="end"/>
      </w:r>
      <w:r w:rsidR="0041189B" w:rsidRPr="0073662B">
        <w:t>.</w:t>
      </w:r>
      <w:r w:rsidR="0021555E">
        <w:t xml:space="preserve"> Thorough description can be found in the companion contribution </w:t>
      </w:r>
      <w:r w:rsidR="00C07E46">
        <w:fldChar w:fldCharType="begin"/>
      </w:r>
      <w:r w:rsidR="0021555E">
        <w:instrText xml:space="preserve"> REF _Ref494406673 \r \h </w:instrText>
      </w:r>
      <w:r w:rsidR="00C07E46">
        <w:fldChar w:fldCharType="separate"/>
      </w:r>
      <w:r w:rsidR="008D4EAE">
        <w:t>[7]</w:t>
      </w:r>
      <w:r w:rsidR="00C07E46">
        <w:fldChar w:fldCharType="end"/>
      </w:r>
      <w:r w:rsidR="0021555E">
        <w:t>, where it is also shown that this scheme preserves the PAPR of DFTsOFDM.</w:t>
      </w:r>
    </w:p>
    <w:p w:rsidR="00E74F8A" w:rsidRPr="0073662B" w:rsidRDefault="0006093F" w:rsidP="0041189B">
      <w:pPr>
        <w:keepNext/>
        <w:jc w:val="center"/>
      </w:pPr>
      <w:r>
        <w:rPr>
          <w:noProof/>
          <w:lang w:val="fr-FR" w:eastAsia="fr-FR"/>
        </w:rPr>
        <mc:AlternateContent>
          <mc:Choice Requires="wps">
            <w:drawing>
              <wp:anchor distT="0" distB="0" distL="114300" distR="114300" simplePos="0" relativeHeight="251662336" behindDoc="0" locked="0" layoutInCell="1" allowOverlap="1">
                <wp:simplePos x="0" y="0"/>
                <wp:positionH relativeFrom="column">
                  <wp:posOffset>610870</wp:posOffset>
                </wp:positionH>
                <wp:positionV relativeFrom="paragraph">
                  <wp:posOffset>25400</wp:posOffset>
                </wp:positionV>
                <wp:extent cx="752475" cy="447675"/>
                <wp:effectExtent l="0" t="0" r="28575" b="28575"/>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2475" cy="4476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A3CA9" w:rsidRPr="00E13757" w:rsidRDefault="004A3CA9"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2" o:spid="_x0000_s1026" type="#_x0000_t202" style="position:absolute;left:0;text-align:left;margin-left:48.1pt;margin-top:2pt;width:59.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" fillcolor="white [3201]" strokecolor="white [3212]" strokeweight=".5pt">
                <v:path arrowok="t"/>
                <v:textbox>
                  <w:txbxContent>
                    <w:p w:rsidR="004A3CA9" w:rsidRPr="00E13757" w:rsidRDefault="004A3CA9" w:rsidP="00E13757">
                      <w:pPr>
                        <w:jc w:val="center"/>
                        <w:rPr>
                          <w:sz w:val="4"/>
                          <w:szCs w:val="4"/>
                          <w:lang w:val="fr-FR"/>
                        </w:rPr>
                      </w:pPr>
                      <w:r>
                        <w:rPr>
                          <w:lang w:val="fr-FR"/>
                        </w:rPr>
                        <w:t xml:space="preserve">Data block </w:t>
                      </w:r>
                      <w:r w:rsidRPr="00E13757">
                        <w:rPr>
                          <w:b/>
                          <w:lang w:val="fr-FR"/>
                        </w:rPr>
                        <w:t>x</w:t>
                      </w:r>
                      <w:r w:rsidRPr="00E13757">
                        <w:rPr>
                          <w:vertAlign w:val="superscript"/>
                          <w:lang w:val="fr-FR"/>
                        </w:rPr>
                        <w:t>(</w:t>
                      </w:r>
                      <w:r w:rsidRPr="00E13757">
                        <w:rPr>
                          <w:i/>
                          <w:vertAlign w:val="superscript"/>
                          <w:lang w:val="fr-FR"/>
                        </w:rPr>
                        <w:t>i</w:t>
                      </w:r>
                      <w:r w:rsidRPr="00E13757">
                        <w:rPr>
                          <w:vertAlign w:val="superscript"/>
                          <w:lang w:val="fr-FR"/>
                        </w:rPr>
                        <w:t>)</w:t>
                      </w:r>
                    </w:p>
                  </w:txbxContent>
                </v:textbox>
              </v:shape>
            </w:pict>
          </mc:Fallback>
        </mc:AlternateContent>
      </w:r>
      <w:r>
        <w:rPr>
          <w:noProof/>
          <w:lang w:val="fr-FR" w:eastAsia="fr-FR"/>
        </w:rPr>
        <mc:AlternateContent>
          <mc:Choice Requires="wps">
            <w:drawing>
              <wp:anchor distT="0" distB="0" distL="114300" distR="114300" simplePos="0" relativeHeight="251659264" behindDoc="0" locked="0" layoutInCell="1" allowOverlap="1">
                <wp:simplePos x="0" y="0"/>
                <wp:positionH relativeFrom="column">
                  <wp:posOffset>897255</wp:posOffset>
                </wp:positionH>
                <wp:positionV relativeFrom="paragraph">
                  <wp:posOffset>1079500</wp:posOffset>
                </wp:positionV>
                <wp:extent cx="263525" cy="255905"/>
                <wp:effectExtent l="0" t="0" r="22225"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525" cy="2559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A13BEDF" id="Rectangle 10" o:spid="_x0000_s1026" style="position:absolute;margin-left:70.65pt;margin-top:85pt;width:20.75pt;height:2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" fillcolor="white [3212]" strokecolor="white [3212]" strokeweight="2pt">
                <v:path arrowok="t"/>
              </v:rect>
            </w:pict>
          </mc:Fallback>
        </mc:AlternateContent>
      </w:r>
      <w:r w:rsidR="00E74F8A" w:rsidRPr="0073662B">
        <w:rPr>
          <w:noProof/>
          <w:lang w:val="fr-FR" w:eastAsia="fr-FR"/>
        </w:rPr>
        <w:drawing>
          <wp:inline distT="0" distB="0" distL="0" distR="0">
            <wp:extent cx="4565176" cy="13703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5238" cy="1373335"/>
                    </a:xfrm>
                    <a:prstGeom prst="rect">
                      <a:avLst/>
                    </a:prstGeom>
                    <a:noFill/>
                    <a:ln>
                      <a:noFill/>
                    </a:ln>
                  </pic:spPr>
                </pic:pic>
              </a:graphicData>
            </a:graphic>
          </wp:inline>
        </w:drawing>
      </w:r>
    </w:p>
    <w:p w:rsidR="00E74F8A" w:rsidRPr="0073662B" w:rsidRDefault="00E74F8A" w:rsidP="00E74F8A">
      <w:pPr>
        <w:pStyle w:val="Lgende"/>
      </w:pPr>
      <w:bookmarkStart w:id="0" w:name="_Ref468985453"/>
      <w:r w:rsidRPr="0073662B">
        <w:t xml:space="preserve">Figure </w:t>
      </w:r>
      <w:r w:rsidR="00C07E46">
        <w:fldChar w:fldCharType="begin"/>
      </w:r>
      <w:r w:rsidR="009369A3">
        <w:instrText xml:space="preserve"> SEQ Figure \* ARABIC </w:instrText>
      </w:r>
      <w:r w:rsidR="00C07E46">
        <w:fldChar w:fldCharType="separate"/>
      </w:r>
      <w:r w:rsidR="008F73F5">
        <w:rPr>
          <w:noProof/>
        </w:rPr>
        <w:t>1</w:t>
      </w:r>
      <w:r w:rsidR="00C07E46">
        <w:rPr>
          <w:noProof/>
        </w:rPr>
        <w:fldChar w:fldCharType="end"/>
      </w:r>
      <w:bookmarkEnd w:id="0"/>
      <w:r w:rsidRPr="0073662B">
        <w:t xml:space="preserve"> </w:t>
      </w:r>
      <w:r w:rsidR="00E13757" w:rsidRPr="0073662B">
        <w:t xml:space="preserve">- </w:t>
      </w:r>
      <w:r w:rsidRPr="0073662B">
        <w:t xml:space="preserve">SFBC for DFTsOFDM </w:t>
      </w:r>
    </w:p>
    <w:p w:rsidR="00E74F8A" w:rsidRPr="0073662B" w:rsidRDefault="00E74F8A" w:rsidP="0041189B">
      <w:pPr>
        <w:jc w:val="center"/>
      </w:pPr>
      <w:r w:rsidRPr="0073662B">
        <w:rPr>
          <w:noProof/>
          <w:lang w:val="fr-FR" w:eastAsia="fr-FR"/>
        </w:rPr>
        <w:lastRenderedPageBreak/>
        <w:drawing>
          <wp:inline distT="0" distB="0" distL="0" distR="0">
            <wp:extent cx="4561200" cy="1270800"/>
            <wp:effectExtent l="0" t="0" r="0" b="5715"/>
            <wp:docPr id="1" name="Image 0" descr="Fig07bis_SC-SFBC mapp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07bis_SC-SFBC mapping.emf"/>
                    <pic:cNvPicPr/>
                  </pic:nvPicPr>
                  <pic:blipFill>
                    <a:blip r:embed="rId13" cstate="print"/>
                    <a:stretch>
                      <a:fillRect/>
                    </a:stretch>
                  </pic:blipFill>
                  <pic:spPr>
                    <a:xfrm>
                      <a:off x="0" y="0"/>
                      <a:ext cx="4561200" cy="1270800"/>
                    </a:xfrm>
                    <a:prstGeom prst="rect">
                      <a:avLst/>
                    </a:prstGeom>
                  </pic:spPr>
                </pic:pic>
              </a:graphicData>
            </a:graphic>
          </wp:inline>
        </w:drawing>
      </w:r>
    </w:p>
    <w:p w:rsidR="00A81622" w:rsidRPr="0073662B" w:rsidRDefault="00E74F8A" w:rsidP="00E74F8A">
      <w:pPr>
        <w:pStyle w:val="Lgende"/>
      </w:pPr>
      <w:bookmarkStart w:id="1" w:name="_Ref468985465"/>
      <w:r w:rsidRPr="0073662B">
        <w:t xml:space="preserve">Figure </w:t>
      </w:r>
      <w:r w:rsidR="00C07E46">
        <w:fldChar w:fldCharType="begin"/>
      </w:r>
      <w:r w:rsidR="009369A3">
        <w:instrText xml:space="preserve"> SEQ Figure \* ARABIC </w:instrText>
      </w:r>
      <w:r w:rsidR="00C07E46">
        <w:fldChar w:fldCharType="separate"/>
      </w:r>
      <w:r w:rsidR="008F73F5">
        <w:rPr>
          <w:noProof/>
        </w:rPr>
        <w:t>2</w:t>
      </w:r>
      <w:r w:rsidR="00C07E46">
        <w:rPr>
          <w:noProof/>
        </w:rPr>
        <w:fldChar w:fldCharType="end"/>
      </w:r>
      <w:bookmarkEnd w:id="1"/>
      <w:r w:rsidR="00E13757" w:rsidRPr="0073662B">
        <w:t xml:space="preserve"> - </w:t>
      </w:r>
      <w:r w:rsidR="00501E73" w:rsidRPr="0073662B">
        <w:t xml:space="preserve">Mapping of Alamouti pairs </w:t>
      </w:r>
      <w:r w:rsidRPr="0073662B">
        <w:t>to subcarriers for PAPR preserving SFBC in DFTsOFDM</w:t>
      </w:r>
    </w:p>
    <w:p w:rsidR="00BD3F81" w:rsidRPr="0021555E" w:rsidRDefault="00277E2E" w:rsidP="000826B4">
      <w:r w:rsidRPr="0021555E">
        <w:t>SC-SFBC has the following advantages:</w:t>
      </w:r>
    </w:p>
    <w:p w:rsidR="00BD3F81" w:rsidRPr="0021555E" w:rsidRDefault="00BD3F81" w:rsidP="00175C63">
      <w:pPr>
        <w:pStyle w:val="Paragraphedeliste"/>
        <w:numPr>
          <w:ilvl w:val="0"/>
          <w:numId w:val="8"/>
        </w:numPr>
        <w:ind w:leftChars="0"/>
      </w:pPr>
      <w:r w:rsidRPr="0021555E">
        <w:t>PAPR preserv</w:t>
      </w:r>
      <w:r w:rsidR="00AD2A97">
        <w:t>ing for all constellation types</w:t>
      </w:r>
      <w:r w:rsidRPr="0021555E">
        <w:t xml:space="preserve"> </w:t>
      </w:r>
    </w:p>
    <w:p w:rsidR="00BD3F81" w:rsidRPr="0021555E" w:rsidRDefault="00DC1EC2" w:rsidP="00175C63">
      <w:pPr>
        <w:pStyle w:val="Paragraphedeliste"/>
        <w:numPr>
          <w:ilvl w:val="0"/>
          <w:numId w:val="8"/>
        </w:numPr>
        <w:ind w:leftChars="0"/>
      </w:pPr>
      <w:r w:rsidRPr="0021555E">
        <w:t xml:space="preserve">operating on single symbol DFTsOFDM, </w:t>
      </w:r>
    </w:p>
    <w:p w:rsidR="00BD3F81" w:rsidRPr="0021555E" w:rsidRDefault="00DC1EC2" w:rsidP="00175C63">
      <w:pPr>
        <w:pStyle w:val="Paragraphedeliste"/>
        <w:numPr>
          <w:ilvl w:val="0"/>
          <w:numId w:val="8"/>
        </w:numPr>
        <w:ind w:leftChars="0"/>
      </w:pPr>
      <w:r w:rsidRPr="0021555E">
        <w:t>full diversity achieving</w:t>
      </w:r>
      <w:r w:rsidR="00C319B4" w:rsidRPr="0021555E">
        <w:t>,</w:t>
      </w:r>
      <w:r w:rsidRPr="0021555E">
        <w:t xml:space="preserve"> </w:t>
      </w:r>
    </w:p>
    <w:p w:rsidR="00C80102" w:rsidRPr="0021555E" w:rsidRDefault="00DC1EC2" w:rsidP="00175C63">
      <w:pPr>
        <w:pStyle w:val="Paragraphedeliste"/>
        <w:numPr>
          <w:ilvl w:val="0"/>
          <w:numId w:val="8"/>
        </w:numPr>
        <w:ind w:leftChars="0"/>
      </w:pPr>
      <w:r w:rsidRPr="0021555E">
        <w:t>with low-complexity frequency-domain decoding at subcarrier level.</w:t>
      </w:r>
    </w:p>
    <w:p w:rsidR="00257034" w:rsidRPr="00257034" w:rsidRDefault="00257034" w:rsidP="00257034"/>
    <w:p w:rsidR="00324558" w:rsidRDefault="00CF59A7" w:rsidP="00CF59A7">
      <w:pPr>
        <w:pStyle w:val="Titre2"/>
      </w:pPr>
      <w:r>
        <w:t>PSSCH evaluation</w:t>
      </w:r>
    </w:p>
    <w:p w:rsidR="00160772" w:rsidRDefault="00160772" w:rsidP="00160772">
      <w:r>
        <w:t xml:space="preserve">In the following, </w:t>
      </w:r>
      <w:r w:rsidR="008F73F5">
        <w:t>we compare the performance of SFBC, SC-SFBC</w:t>
      </w:r>
      <w:r w:rsidR="007C01F9">
        <w:t>,</w:t>
      </w:r>
      <w:r w:rsidR="008F73F5">
        <w:t xml:space="preserve"> SD-CDD</w:t>
      </w:r>
      <w:r w:rsidR="007C01F9">
        <w:t xml:space="preserve"> with various delays and reference SIMO</w:t>
      </w:r>
      <w:r w:rsidR="00C045F5">
        <w:t xml:space="preserve"> in a noise-limited scenario</w:t>
      </w:r>
      <w:r w:rsidR="008F73F5">
        <w:t>. As reported by RAN4</w:t>
      </w:r>
      <w:r w:rsidR="007C01F9">
        <w:t xml:space="preserve"> </w:t>
      </w:r>
      <w:r w:rsidR="00C07E46">
        <w:fldChar w:fldCharType="begin"/>
      </w:r>
      <w:r w:rsidR="007C01F9">
        <w:instrText xml:space="preserve"> REF _Ref510627447 \r \h </w:instrText>
      </w:r>
      <w:r w:rsidR="00C07E46">
        <w:fldChar w:fldCharType="separate"/>
      </w:r>
      <w:r w:rsidR="007C01F9">
        <w:t>[12]</w:t>
      </w:r>
      <w:r w:rsidR="00C07E46">
        <w:fldChar w:fldCharType="end"/>
      </w:r>
      <w:r w:rsidR="008F73F5">
        <w:t xml:space="preserve">, </w:t>
      </w:r>
      <w:r w:rsidRPr="0073662B">
        <w:t xml:space="preserve">SFBC </w:t>
      </w:r>
      <w:r w:rsidR="007C01F9">
        <w:t>exhibits a MPR loss of 0.5dB</w:t>
      </w:r>
      <w:r w:rsidRPr="009B7A2E">
        <w:t>.</w:t>
      </w:r>
      <w:r w:rsidR="007C01F9">
        <w:t xml:space="preserve"> Note that the MPR loss is not included in </w:t>
      </w:r>
      <w:r w:rsidR="00C07E46">
        <w:fldChar w:fldCharType="begin"/>
      </w:r>
      <w:r w:rsidR="007C01F9">
        <w:instrText xml:space="preserve"> REF _Ref510627605 \h </w:instrText>
      </w:r>
      <w:r w:rsidR="00C07E46">
        <w:fldChar w:fldCharType="separate"/>
      </w:r>
      <w:r w:rsidR="007C01F9">
        <w:t xml:space="preserve">Figure </w:t>
      </w:r>
      <w:r w:rsidR="007C01F9">
        <w:rPr>
          <w:noProof/>
        </w:rPr>
        <w:t>3</w:t>
      </w:r>
      <w:r w:rsidR="00C07E46">
        <w:fldChar w:fldCharType="end"/>
      </w:r>
      <w:r w:rsidR="007C01F9">
        <w:t xml:space="preserve">- </w:t>
      </w:r>
      <w:r w:rsidR="00C07E46">
        <w:fldChar w:fldCharType="begin"/>
      </w:r>
      <w:r w:rsidR="007C01F9">
        <w:instrText xml:space="preserve"> REF _Ref510627607 \h </w:instrText>
      </w:r>
      <w:r w:rsidR="00C07E46">
        <w:fldChar w:fldCharType="separate"/>
      </w:r>
      <w:r w:rsidR="007C01F9">
        <w:t xml:space="preserve">Figure </w:t>
      </w:r>
      <w:r w:rsidR="007C01F9">
        <w:rPr>
          <w:noProof/>
        </w:rPr>
        <w:t>6</w:t>
      </w:r>
      <w:r w:rsidR="00C07E46">
        <w:fldChar w:fldCharType="end"/>
      </w:r>
      <w:r w:rsidR="007C01F9">
        <w:t xml:space="preserve">. On the other hand, the 0.5dB MPR penalty has been included in the recapitulative tables Table 1 – Table 3. </w:t>
      </w:r>
      <w:r w:rsidR="00C045F5">
        <w:t xml:space="preserve">The </w:t>
      </w:r>
      <w:r w:rsidR="00C045F5" w:rsidRPr="009D3989">
        <w:t xml:space="preserve">simulation setup </w:t>
      </w:r>
      <w:r w:rsidR="00C045F5">
        <w:t>is described in the Annex.</w:t>
      </w:r>
      <w:r w:rsidR="00015D5E">
        <w:t xml:space="preserve"> PAPR preserving SC-SFBC is implemented as described in </w:t>
      </w:r>
      <w:r w:rsidR="00C07E46">
        <w:fldChar w:fldCharType="begin"/>
      </w:r>
      <w:r w:rsidR="00015D5E">
        <w:instrText xml:space="preserve"> REF _Ref494406673 \r \h </w:instrText>
      </w:r>
      <w:r w:rsidR="00C07E46">
        <w:fldChar w:fldCharType="separate"/>
      </w:r>
      <w:r w:rsidR="00015D5E">
        <w:t>[7]</w:t>
      </w:r>
      <w:r w:rsidR="00C07E46">
        <w:fldChar w:fldCharType="end"/>
      </w:r>
      <w:r w:rsidR="00015D5E">
        <w:t>. A classical SFBC MMSE receiver is applied at the receiver side, since the only difference with classical SFBC is the subcarrier mapping order. This MMSE receiver is low complexity, applied onto pairs of subcarriers involved in Alamouti precoding (involves an order 2 matrix inversion). Note that for classical SFBC evaluations the same MMSE receiver was also used, since it achieves better performance on frequency selective channels than the MRC receiver.</w:t>
      </w:r>
    </w:p>
    <w:p w:rsidR="007C01F9" w:rsidRPr="009B7A2E" w:rsidRDefault="00C07E46" w:rsidP="00160772">
      <w:r>
        <w:fldChar w:fldCharType="begin"/>
      </w:r>
      <w:r w:rsidR="007C01F9">
        <w:instrText xml:space="preserve"> REF _Ref510627605 \h </w:instrText>
      </w:r>
      <w:r>
        <w:fldChar w:fldCharType="separate"/>
      </w:r>
      <w:r w:rsidR="007C01F9">
        <w:t xml:space="preserve">Figure </w:t>
      </w:r>
      <w:r w:rsidR="007C01F9">
        <w:rPr>
          <w:noProof/>
        </w:rPr>
        <w:t>3</w:t>
      </w:r>
      <w:r>
        <w:fldChar w:fldCharType="end"/>
      </w:r>
      <w:r w:rsidR="00C045F5">
        <w:t xml:space="preserve"> shows comparative performance of SFBC-based transmission and SD-CDD with various delays. </w:t>
      </w:r>
      <w:r w:rsidR="002D46A6">
        <w:t>Delays from 2 to 128 samples (out of 1024) were simulated. Delay 128 is not presented: this delay is too large to be implemented in a receiver-transparent manner, since the impact on the channel estimation module is considerable and performance is strongly impacted</w:t>
      </w:r>
      <w:r w:rsidR="00233877">
        <w:t xml:space="preserve"> (worse than SIMO)</w:t>
      </w:r>
      <w:r w:rsidR="002D46A6">
        <w:t xml:space="preserve">. SD-CDD performance is very variable depending on the chosen delay. </w:t>
      </w:r>
      <w:r w:rsidR="00C045F5">
        <w:t xml:space="preserve">With non-optimized delays, SD-CDD may have no gain over SIMO. </w:t>
      </w:r>
      <w:r w:rsidR="002D46A6">
        <w:t xml:space="preserve">Transparent SD-CDD, where the delay is an implementation choice at the transmitter side, has variable performance. Non-transparent SD-CDD, where the delay may be adapted to the channel, </w:t>
      </w:r>
      <w:r w:rsidR="00233877">
        <w:t xml:space="preserve">may also be considered. Nevertheless, this </w:t>
      </w:r>
      <w:r w:rsidR="002D46A6">
        <w:t>implies implementing specific signaling of the delay values to be used</w:t>
      </w:r>
      <w:r w:rsidR="00233877">
        <w:t xml:space="preserve"> (and an averagely good method for determining such value). Even with optimized values, SC-CDD is less performing than full-diversity schemes, as it will be further developed in the following. Therefore, we consider that the limited performance gain of non-transparent SD-CDD does not justify the specification effort. </w:t>
      </w:r>
    </w:p>
    <w:p w:rsidR="00015D5E" w:rsidRDefault="00C07E46" w:rsidP="005624D8">
      <w:pPr>
        <w:shd w:val="clear" w:color="auto" w:fill="FFFFFF" w:themeFill="background1"/>
      </w:pPr>
      <w:r>
        <w:fldChar w:fldCharType="begin"/>
      </w:r>
      <w:r w:rsidR="00015D5E">
        <w:instrText xml:space="preserve"> REF _Ref510630143 \h </w:instrText>
      </w:r>
      <w:r>
        <w:fldChar w:fldCharType="separate"/>
      </w:r>
      <w:r w:rsidR="00015D5E">
        <w:t xml:space="preserve">Figure </w:t>
      </w:r>
      <w:r w:rsidR="00015D5E">
        <w:rPr>
          <w:noProof/>
        </w:rPr>
        <w:t>4</w:t>
      </w:r>
      <w:r>
        <w:fldChar w:fldCharType="end"/>
      </w:r>
      <w:r w:rsidR="00015D5E">
        <w:t xml:space="preserve"> shows comparative performance of SFBC-based transmission and SD-CDD at different speeds. We only show the best performing delays for SD-CDD (16, 32, 64 samples). SD-CDD is sensitive to high mobility and displays performance loss with respect to Alamouti-based schemes when the speed increases.</w:t>
      </w:r>
    </w:p>
    <w:p w:rsidR="00015D5E" w:rsidRDefault="00C07E46" w:rsidP="005624D8">
      <w:pPr>
        <w:shd w:val="clear" w:color="auto" w:fill="FFFFFF" w:themeFill="background1"/>
      </w:pPr>
      <w:r>
        <w:fldChar w:fldCharType="begin"/>
      </w:r>
      <w:r w:rsidR="00015D5E">
        <w:instrText xml:space="preserve"> REF _Ref510630672 \h </w:instrText>
      </w:r>
      <w:r>
        <w:fldChar w:fldCharType="separate"/>
      </w:r>
      <w:r w:rsidR="00015D5E">
        <w:t xml:space="preserve">Figure </w:t>
      </w:r>
      <w:r w:rsidR="00015D5E">
        <w:rPr>
          <w:noProof/>
        </w:rPr>
        <w:t>5</w:t>
      </w:r>
      <w:r>
        <w:fldChar w:fldCharType="end"/>
      </w:r>
      <w:r w:rsidR="00015D5E">
        <w:t xml:space="preserve"> shows comparative performance of SFBC-based transmission and SD-CDD with various coding rates. Once again, we only show the best performing delays for SD-CDD (16, 32, 64 samples). SD-CDD enhances the channel selectivity, transforming thus space diversity into frequency diversity, and recovers the extra diversity through error correction coding. Uncoded SD-CDD displays no gain </w:t>
      </w:r>
      <w:r w:rsidR="00015D5E">
        <w:lastRenderedPageBreak/>
        <w:t>over SIMO transmission. Due to this mechanism, SD-CDD is sensitive to coding rate. The performance gap in favor of Alamouti-based schemes increases when the coding rate increases.</w:t>
      </w:r>
    </w:p>
    <w:p w:rsidR="00015D5E" w:rsidRDefault="00DB418C" w:rsidP="005624D8">
      <w:pPr>
        <w:shd w:val="clear" w:color="auto" w:fill="FFFFFF" w:themeFill="background1"/>
      </w:pPr>
      <w:r>
        <w:t xml:space="preserve">Due to Alamouti precoding onto non-adjacent subcarriers engendering a loss in the channel orthogonality in frequency selective channels, SC-SFBC suffers some performance loss with respect to SFBC. A worst case scenario with highly selective channel and large spectral allocation is depicted in </w:t>
      </w:r>
      <w:r w:rsidR="00C07E46">
        <w:fldChar w:fldCharType="begin"/>
      </w:r>
      <w:r>
        <w:instrText xml:space="preserve"> REF _Ref510627607 \h </w:instrText>
      </w:r>
      <w:r w:rsidR="00C07E46">
        <w:fldChar w:fldCharType="separate"/>
      </w:r>
      <w:r>
        <w:t xml:space="preserve">Figure </w:t>
      </w:r>
      <w:r>
        <w:rPr>
          <w:noProof/>
        </w:rPr>
        <w:t>6</w:t>
      </w:r>
      <w:r w:rsidR="00C07E46">
        <w:fldChar w:fldCharType="end"/>
      </w:r>
      <w:r>
        <w:t xml:space="preserve">, showing that SC-SFBC has only limited loss due to the above-mentioned issue. </w:t>
      </w:r>
      <w:r w:rsidR="009B24BF">
        <w:t>In the depicted example, the 0.2dB loss is inferior to the 0.5 MPR gain coming from the fact that, contrary to SFBC, SC-SFBC maintains the PAPR of DFTsOFDM.</w:t>
      </w:r>
    </w:p>
    <w:p w:rsidR="009B24BF" w:rsidRDefault="009B24BF" w:rsidP="009B24BF">
      <w:pPr>
        <w:shd w:val="clear" w:color="auto" w:fill="FFFFFF" w:themeFill="background1"/>
      </w:pPr>
      <w:r>
        <w:t>Tables 1, 2 and 3 summarize the results of an extensive simulation campaign, considering various channel delay spreads (130/300/1000ns), speeds (15/60/120/300 kmph), MCS (QPSK1/2, QPSK ¾, 16QAM ½, 16QAM ¾, 64QAM ½) and allocations. Tables 1, 2 and 3 summarize the gain of SC-SFBC (in dB, understood as SNR gain at target FER=10</w:t>
      </w:r>
      <w:r w:rsidRPr="006C2369">
        <w:rPr>
          <w:vertAlign w:val="superscript"/>
        </w:rPr>
        <w:t>-1</w:t>
      </w:r>
      <w:r>
        <w:t>) over the other transmit diversity schemes for QPSK, 16QAM and 64QAM respectively. The color code in the tables is used to indicate:</w:t>
      </w:r>
    </w:p>
    <w:p w:rsidR="009B24BF" w:rsidRDefault="009B24BF" w:rsidP="009B24BF">
      <w:pPr>
        <w:pStyle w:val="Paragraphedeliste"/>
        <w:numPr>
          <w:ilvl w:val="0"/>
          <w:numId w:val="8"/>
        </w:numPr>
        <w:shd w:val="clear" w:color="auto" w:fill="FFFFFF" w:themeFill="background1"/>
        <w:ind w:leftChars="0"/>
      </w:pPr>
      <w:r>
        <w:t xml:space="preserve">in </w:t>
      </w:r>
      <w:r w:rsidRPr="009B24BF">
        <w:rPr>
          <w:color w:val="FF7171"/>
        </w:rPr>
        <w:t>light red</w:t>
      </w:r>
      <w:r>
        <w:t xml:space="preserve">, the cases where competing scheme has </w:t>
      </w:r>
      <w:r w:rsidRPr="009B24BF">
        <w:rPr>
          <w:color w:val="FF7171"/>
        </w:rPr>
        <w:t>slightly better performance than SC-SFBC</w:t>
      </w:r>
      <w:r w:rsidRPr="006C2369">
        <w:rPr>
          <w:color w:val="E36C0A" w:themeColor="accent6" w:themeShade="BF"/>
        </w:rPr>
        <w:t xml:space="preserve"> </w:t>
      </w:r>
      <w:r>
        <w:t xml:space="preserve">(less than 0.5dB difference) </w:t>
      </w:r>
    </w:p>
    <w:p w:rsidR="009B24BF" w:rsidRDefault="009B24BF" w:rsidP="009B24BF">
      <w:pPr>
        <w:pStyle w:val="Paragraphedeliste"/>
        <w:numPr>
          <w:ilvl w:val="0"/>
          <w:numId w:val="8"/>
        </w:numPr>
        <w:shd w:val="clear" w:color="auto" w:fill="FFFFFF" w:themeFill="background1"/>
        <w:ind w:leftChars="0"/>
      </w:pPr>
      <w:r>
        <w:t xml:space="preserve">in </w:t>
      </w:r>
      <w:r w:rsidRPr="009B24BF">
        <w:rPr>
          <w:color w:val="92D050"/>
        </w:rPr>
        <w:t>light green</w:t>
      </w:r>
      <w:r>
        <w:t xml:space="preserve"> the cases where competing scheme has performance </w:t>
      </w:r>
      <w:r w:rsidRPr="009B24BF">
        <w:rPr>
          <w:color w:val="92D050"/>
        </w:rPr>
        <w:t>slightly worse than SC-SFBC</w:t>
      </w:r>
      <w:r>
        <w:rPr>
          <w:color w:val="FF0000"/>
        </w:rPr>
        <w:t xml:space="preserve"> </w:t>
      </w:r>
      <w:r w:rsidRPr="009B24BF">
        <w:rPr>
          <w:color w:val="000000" w:themeColor="text1"/>
        </w:rPr>
        <w:t>(less than 0.5dB of difference)</w:t>
      </w:r>
    </w:p>
    <w:p w:rsidR="009B24BF" w:rsidRPr="009B24BF" w:rsidRDefault="009B24BF" w:rsidP="009B24BF">
      <w:pPr>
        <w:pStyle w:val="Paragraphedeliste"/>
        <w:numPr>
          <w:ilvl w:val="0"/>
          <w:numId w:val="8"/>
        </w:numPr>
        <w:shd w:val="clear" w:color="auto" w:fill="FFFFFF" w:themeFill="background1"/>
        <w:ind w:leftChars="0"/>
      </w:pPr>
      <w:r>
        <w:t xml:space="preserve">in </w:t>
      </w:r>
      <w:r w:rsidRPr="000E03BA">
        <w:rPr>
          <w:color w:val="00FF00"/>
        </w:rPr>
        <w:t>green</w:t>
      </w:r>
      <w:r>
        <w:t xml:space="preserve"> the cases where competing scheme has performance </w:t>
      </w:r>
      <w:r w:rsidRPr="000E03BA">
        <w:rPr>
          <w:color w:val="00FF00"/>
        </w:rPr>
        <w:t>worse than SC-SFBC</w:t>
      </w:r>
      <w:r w:rsidRPr="009B24BF">
        <w:rPr>
          <w:color w:val="00B050"/>
        </w:rPr>
        <w:t xml:space="preserve"> </w:t>
      </w:r>
      <w:r w:rsidRPr="009B24BF">
        <w:rPr>
          <w:color w:val="000000" w:themeColor="text1"/>
        </w:rPr>
        <w:t xml:space="preserve">(0.5dB </w:t>
      </w:r>
      <w:r>
        <w:rPr>
          <w:color w:val="000000" w:themeColor="text1"/>
        </w:rPr>
        <w:t xml:space="preserve">to 1dB </w:t>
      </w:r>
      <w:r w:rsidRPr="009B24BF">
        <w:rPr>
          <w:color w:val="000000" w:themeColor="text1"/>
        </w:rPr>
        <w:t>of difference)</w:t>
      </w:r>
    </w:p>
    <w:p w:rsidR="009B24BF" w:rsidRPr="00273C94" w:rsidRDefault="009B24BF" w:rsidP="009B24BF">
      <w:pPr>
        <w:pStyle w:val="Paragraphedeliste"/>
        <w:numPr>
          <w:ilvl w:val="0"/>
          <w:numId w:val="8"/>
        </w:numPr>
        <w:shd w:val="clear" w:color="auto" w:fill="FFFFFF" w:themeFill="background1"/>
        <w:ind w:leftChars="0"/>
      </w:pPr>
      <w:r>
        <w:t xml:space="preserve">in </w:t>
      </w:r>
      <w:r w:rsidRPr="000E03BA">
        <w:rPr>
          <w:color w:val="00B050"/>
        </w:rPr>
        <w:t xml:space="preserve">dark green </w:t>
      </w:r>
      <w:r>
        <w:t xml:space="preserve">the cases where competing scheme has performance </w:t>
      </w:r>
      <w:r w:rsidRPr="000E03BA">
        <w:rPr>
          <w:color w:val="00B050"/>
        </w:rPr>
        <w:t xml:space="preserve">significantly worse than SC-SFBC </w:t>
      </w:r>
      <w:r w:rsidRPr="009B24BF">
        <w:rPr>
          <w:color w:val="000000" w:themeColor="text1"/>
        </w:rPr>
        <w:t>(</w:t>
      </w:r>
      <w:r>
        <w:rPr>
          <w:color w:val="000000" w:themeColor="text1"/>
        </w:rPr>
        <w:t>more than 1</w:t>
      </w:r>
      <w:r w:rsidRPr="009B24BF">
        <w:rPr>
          <w:color w:val="000000" w:themeColor="text1"/>
        </w:rPr>
        <w:t>dB of difference)</w:t>
      </w:r>
    </w:p>
    <w:p w:rsidR="00015D5E" w:rsidRDefault="000E03BA" w:rsidP="005624D8">
      <w:pPr>
        <w:shd w:val="clear" w:color="auto" w:fill="FFFFFF" w:themeFill="background1"/>
      </w:pPr>
      <w:r>
        <w:t>SD-CDD matches Alamouti-based performance only with strongly coded QPSK at low to medium speed. In all other scenarios, SD-CDD performs worse or significantly worse than Alamouti-based schemes, the loss may attain several dBs, regardless of the chosen delay. The limited performance gain of non-transparent SD-CDD does not justify the specification effort.</w:t>
      </w:r>
    </w:p>
    <w:p w:rsidR="0007135A" w:rsidRDefault="000E03BA" w:rsidP="005624D8">
      <w:pPr>
        <w:shd w:val="clear" w:color="auto" w:fill="FFFFFF" w:themeFill="background1"/>
      </w:pPr>
      <w:r>
        <w:t xml:space="preserve">When comparing SC-SFBC with SFBC, we conclude that </w:t>
      </w:r>
      <w:r w:rsidR="00DC0599">
        <w:t>the loss displayed by SC-SFBC due to precoding onto non-adjacent subcarriers is inferior to the 0.5 MPR gain coming from the fact that, contrary to SFBC, SC-SFBC maintains the PAPR of DFTsOFDM. SC-SFBC is thus preferred.</w:t>
      </w:r>
    </w:p>
    <w:p w:rsidR="00233877" w:rsidRDefault="00DC0599" w:rsidP="005624D8">
      <w:pPr>
        <w:shd w:val="clear" w:color="auto" w:fill="FFFFFF" w:themeFill="background1"/>
      </w:pPr>
      <w:r>
        <w:t xml:space="preserve">We draw the following </w:t>
      </w:r>
      <w:r w:rsidR="0088621E" w:rsidRPr="0088621E">
        <w:rPr>
          <w:b/>
        </w:rPr>
        <w:t>o</w:t>
      </w:r>
      <w:r w:rsidR="00233877" w:rsidRPr="0088621E">
        <w:rPr>
          <w:b/>
        </w:rPr>
        <w:t>bservations</w:t>
      </w:r>
      <w:r w:rsidR="0088621E">
        <w:rPr>
          <w:b/>
        </w:rPr>
        <w:t>:</w:t>
      </w:r>
    </w:p>
    <w:p w:rsidR="00015D5E" w:rsidRPr="0088621E" w:rsidRDefault="00233877" w:rsidP="00A6092D">
      <w:pPr>
        <w:pStyle w:val="Paragraphedeliste"/>
        <w:numPr>
          <w:ilvl w:val="0"/>
          <w:numId w:val="8"/>
        </w:numPr>
        <w:shd w:val="clear" w:color="auto" w:fill="FFFFFF" w:themeFill="background1"/>
        <w:ind w:leftChars="0"/>
        <w:rPr>
          <w:i/>
        </w:rPr>
      </w:pPr>
      <w:r w:rsidRPr="0088621E">
        <w:rPr>
          <w:i/>
        </w:rPr>
        <w:t>SD-CDD performance is highly dependent on the chosen delay.</w:t>
      </w:r>
      <w:r w:rsidR="0088621E">
        <w:rPr>
          <w:i/>
        </w:rPr>
        <w:t xml:space="preserve"> </w:t>
      </w:r>
      <w:r w:rsidR="00015D5E" w:rsidRPr="0088621E">
        <w:rPr>
          <w:i/>
        </w:rPr>
        <w:t>With non-optimized delay, transparent SD-CDD may have no gain over SIMO in some scenarios.</w:t>
      </w:r>
    </w:p>
    <w:p w:rsidR="00015D5E" w:rsidRPr="0088621E" w:rsidRDefault="00015D5E" w:rsidP="00233877">
      <w:pPr>
        <w:pStyle w:val="Paragraphedeliste"/>
        <w:numPr>
          <w:ilvl w:val="0"/>
          <w:numId w:val="8"/>
        </w:numPr>
        <w:shd w:val="clear" w:color="auto" w:fill="FFFFFF" w:themeFill="background1"/>
        <w:ind w:leftChars="0"/>
        <w:rPr>
          <w:i/>
        </w:rPr>
      </w:pPr>
      <w:r w:rsidRPr="0088621E">
        <w:rPr>
          <w:i/>
        </w:rPr>
        <w:t>SD-CDD is sensitive to high mobility and is less performing than Alamouti-based schemes at high speed.</w:t>
      </w:r>
    </w:p>
    <w:p w:rsidR="00015D5E" w:rsidRPr="0088621E" w:rsidRDefault="00015D5E" w:rsidP="00233877">
      <w:pPr>
        <w:pStyle w:val="Paragraphedeliste"/>
        <w:numPr>
          <w:ilvl w:val="0"/>
          <w:numId w:val="8"/>
        </w:numPr>
        <w:shd w:val="clear" w:color="auto" w:fill="FFFFFF" w:themeFill="background1"/>
        <w:ind w:leftChars="0"/>
        <w:rPr>
          <w:i/>
        </w:rPr>
      </w:pPr>
      <w:r w:rsidRPr="0088621E">
        <w:rPr>
          <w:i/>
        </w:rPr>
        <w:t>SD-CDD is sensitive to coding rate changes and is less performing than Alamouti-based schemes with relaxed coding rates.</w:t>
      </w:r>
    </w:p>
    <w:p w:rsidR="00015D5E" w:rsidRPr="0088621E" w:rsidRDefault="00015D5E" w:rsidP="00233877">
      <w:pPr>
        <w:pStyle w:val="Paragraphedeliste"/>
        <w:numPr>
          <w:ilvl w:val="0"/>
          <w:numId w:val="8"/>
        </w:numPr>
        <w:shd w:val="clear" w:color="auto" w:fill="FFFFFF" w:themeFill="background1"/>
        <w:ind w:leftChars="0"/>
        <w:rPr>
          <w:i/>
        </w:rPr>
      </w:pPr>
      <w:r w:rsidRPr="0088621E">
        <w:rPr>
          <w:i/>
        </w:rPr>
        <w:t xml:space="preserve">SD-CDD </w:t>
      </w:r>
      <w:r w:rsidR="000E03BA" w:rsidRPr="0088621E">
        <w:rPr>
          <w:i/>
        </w:rPr>
        <w:t>matches Alamouti-based performance only with strongly coded QPSK at low to medium speed. In all other scenarios, SD-CDD performs worse or significantly worse than Alamouti-based schemes.</w:t>
      </w:r>
    </w:p>
    <w:p w:rsidR="00015D5E" w:rsidRDefault="00015D5E" w:rsidP="00233877">
      <w:pPr>
        <w:pStyle w:val="Paragraphedeliste"/>
        <w:numPr>
          <w:ilvl w:val="0"/>
          <w:numId w:val="8"/>
        </w:numPr>
        <w:shd w:val="clear" w:color="auto" w:fill="FFFFFF" w:themeFill="background1"/>
        <w:ind w:leftChars="0"/>
        <w:rPr>
          <w:i/>
        </w:rPr>
      </w:pPr>
      <w:r w:rsidRPr="0088621E">
        <w:rPr>
          <w:i/>
        </w:rPr>
        <w:t>The limited performance gain of non-transparent SD-CDD does not justify the specification effort.</w:t>
      </w:r>
    </w:p>
    <w:p w:rsidR="0088621E" w:rsidRDefault="0088621E" w:rsidP="00233877">
      <w:pPr>
        <w:pStyle w:val="Paragraphedeliste"/>
        <w:numPr>
          <w:ilvl w:val="0"/>
          <w:numId w:val="8"/>
        </w:numPr>
        <w:shd w:val="clear" w:color="auto" w:fill="FFFFFF" w:themeFill="background1"/>
        <w:ind w:leftChars="0"/>
        <w:rPr>
          <w:i/>
        </w:rPr>
      </w:pPr>
      <w:r w:rsidRPr="0073662B">
        <w:rPr>
          <w:i/>
        </w:rPr>
        <w:t xml:space="preserve">Full diversity Alamouti schemes are more robust than </w:t>
      </w:r>
      <w:r>
        <w:rPr>
          <w:i/>
        </w:rPr>
        <w:t>SD-</w:t>
      </w:r>
      <w:r w:rsidRPr="0073662B">
        <w:rPr>
          <w:i/>
        </w:rPr>
        <w:t>CDD</w:t>
      </w:r>
      <w:r>
        <w:rPr>
          <w:i/>
        </w:rPr>
        <w:t>.</w:t>
      </w:r>
    </w:p>
    <w:p w:rsidR="0088621E" w:rsidRPr="0088621E" w:rsidRDefault="0088621E" w:rsidP="00233877">
      <w:pPr>
        <w:pStyle w:val="Paragraphedeliste"/>
        <w:numPr>
          <w:ilvl w:val="0"/>
          <w:numId w:val="8"/>
        </w:numPr>
        <w:shd w:val="clear" w:color="auto" w:fill="FFFFFF" w:themeFill="background1"/>
        <w:ind w:leftChars="0"/>
        <w:rPr>
          <w:i/>
        </w:rPr>
      </w:pPr>
      <w:r>
        <w:rPr>
          <w:i/>
        </w:rPr>
        <w:t>When the 0.5dB MPR loss of SFBC is taken into account, SC-SFBC performs overall better than SFBC.</w:t>
      </w:r>
    </w:p>
    <w:p w:rsidR="008F73F5" w:rsidRDefault="008F73F5">
      <w:pPr>
        <w:spacing w:after="0"/>
        <w:jc w:val="left"/>
      </w:pPr>
      <w: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7"/>
        <w:gridCol w:w="5009"/>
        <w:gridCol w:w="10"/>
      </w:tblGrid>
      <w:tr w:rsidR="00874D92" w:rsidRPr="009D3989" w:rsidTr="008F73F5">
        <w:tc>
          <w:tcPr>
            <w:tcW w:w="4986" w:type="dxa"/>
          </w:tcPr>
          <w:p w:rsidR="00874D92" w:rsidRDefault="00874D92" w:rsidP="00874D92">
            <w:pPr>
              <w:keepNext/>
              <w:shd w:val="clear" w:color="auto" w:fill="FFFFFF" w:themeFill="background1"/>
              <w:jc w:val="center"/>
            </w:pPr>
            <w:r w:rsidRPr="00650F10">
              <w:rPr>
                <w:noProof/>
                <w:lang w:val="fr-FR" w:eastAsia="fr-FR"/>
              </w:rPr>
              <w:lastRenderedPageBreak/>
              <w:drawing>
                <wp:inline distT="0" distB="0" distL="0" distR="0">
                  <wp:extent cx="3049200" cy="3927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9200" cy="3927600"/>
                          </a:xfrm>
                          <a:prstGeom prst="rect">
                            <a:avLst/>
                          </a:prstGeom>
                          <a:noFill/>
                          <a:ln>
                            <a:noFill/>
                          </a:ln>
                        </pic:spPr>
                      </pic:pic>
                    </a:graphicData>
                  </a:graphic>
                </wp:inline>
              </w:drawing>
            </w:r>
          </w:p>
          <w:p w:rsidR="00874D92" w:rsidRPr="009D3989" w:rsidRDefault="00874D92" w:rsidP="00874D92">
            <w:pPr>
              <w:pStyle w:val="Lgende"/>
              <w:jc w:val="center"/>
            </w:pPr>
            <w:bookmarkStart w:id="2" w:name="_Ref510627605"/>
            <w:bookmarkStart w:id="3" w:name="_Ref510627856"/>
            <w:r>
              <w:t xml:space="preserve">Figure </w:t>
            </w:r>
            <w:r w:rsidR="00C07E46">
              <w:fldChar w:fldCharType="begin"/>
            </w:r>
            <w:r w:rsidR="009369A3">
              <w:instrText xml:space="preserve"> SEQ Figure \* ARABIC </w:instrText>
            </w:r>
            <w:r w:rsidR="00C07E46">
              <w:fldChar w:fldCharType="separate"/>
            </w:r>
            <w:r w:rsidR="008F73F5">
              <w:rPr>
                <w:noProof/>
              </w:rPr>
              <w:t>3</w:t>
            </w:r>
            <w:r w:rsidR="00C07E46">
              <w:rPr>
                <w:noProof/>
              </w:rPr>
              <w:fldChar w:fldCharType="end"/>
            </w:r>
            <w:bookmarkEnd w:id="2"/>
            <w:r>
              <w:t xml:space="preserve"> – Sensitivity to delay value: </w:t>
            </w:r>
            <w:r w:rsidRPr="009D3989">
              <w:t xml:space="preserve">16QAM ½, </w:t>
            </w:r>
            <w:r>
              <w:t>130</w:t>
            </w:r>
            <w:r w:rsidRPr="009D3989">
              <w:t xml:space="preserve">ns, </w:t>
            </w:r>
            <w:r>
              <w:t>5</w:t>
            </w:r>
            <w:r w:rsidRPr="009D3989">
              <w:t xml:space="preserve">RB, </w:t>
            </w:r>
            <w:r>
              <w:t>15</w:t>
            </w:r>
            <w:r w:rsidRPr="009D3989">
              <w:t>kmp</w:t>
            </w:r>
            <w:r>
              <w:t>h</w:t>
            </w:r>
            <w:bookmarkEnd w:id="3"/>
          </w:p>
        </w:tc>
        <w:tc>
          <w:tcPr>
            <w:tcW w:w="4986" w:type="dxa"/>
            <w:gridSpan w:val="2"/>
          </w:tcPr>
          <w:p w:rsidR="00874D92" w:rsidRDefault="00874D92" w:rsidP="00874D92">
            <w:pPr>
              <w:keepNext/>
              <w:shd w:val="clear" w:color="auto" w:fill="FFFFFF" w:themeFill="background1"/>
              <w:jc w:val="center"/>
            </w:pPr>
            <w:r w:rsidRPr="00874D92">
              <w:rPr>
                <w:noProof/>
                <w:lang w:val="fr-FR" w:eastAsia="fr-FR"/>
              </w:rPr>
              <w:drawing>
                <wp:inline distT="0" distB="0" distL="0" distR="0">
                  <wp:extent cx="3049200" cy="39276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9200" cy="3927600"/>
                          </a:xfrm>
                          <a:prstGeom prst="rect">
                            <a:avLst/>
                          </a:prstGeom>
                          <a:noFill/>
                          <a:ln>
                            <a:noFill/>
                          </a:ln>
                        </pic:spPr>
                      </pic:pic>
                    </a:graphicData>
                  </a:graphic>
                </wp:inline>
              </w:drawing>
            </w:r>
          </w:p>
          <w:p w:rsidR="00874D92" w:rsidRPr="009D3989" w:rsidRDefault="00874D92" w:rsidP="00874D92">
            <w:pPr>
              <w:pStyle w:val="Lgende"/>
              <w:jc w:val="center"/>
            </w:pPr>
            <w:bookmarkStart w:id="4" w:name="_Ref510630143"/>
            <w:r>
              <w:t xml:space="preserve">Figure </w:t>
            </w:r>
            <w:r w:rsidR="00C07E46">
              <w:fldChar w:fldCharType="begin"/>
            </w:r>
            <w:r w:rsidR="009369A3">
              <w:instrText xml:space="preserve"> SEQ Figure \* ARABIC </w:instrText>
            </w:r>
            <w:r w:rsidR="00C07E46">
              <w:fldChar w:fldCharType="separate"/>
            </w:r>
            <w:r w:rsidR="008F73F5">
              <w:rPr>
                <w:noProof/>
              </w:rPr>
              <w:t>4</w:t>
            </w:r>
            <w:r w:rsidR="00C07E46">
              <w:rPr>
                <w:noProof/>
              </w:rPr>
              <w:fldChar w:fldCharType="end"/>
            </w:r>
            <w:bookmarkEnd w:id="4"/>
            <w:r>
              <w:t xml:space="preserve"> – Sensitivity to speed variations: </w:t>
            </w:r>
            <w:r w:rsidRPr="009D3989">
              <w:t xml:space="preserve">QPSK ½, </w:t>
            </w:r>
            <w:r>
              <w:t>130</w:t>
            </w:r>
            <w:r w:rsidRPr="009D3989">
              <w:t xml:space="preserve">ns, 10RB, </w:t>
            </w:r>
            <w:r>
              <w:t>15kmph and 300</w:t>
            </w:r>
            <w:r w:rsidRPr="009D3989">
              <w:t>kmph</w:t>
            </w:r>
          </w:p>
        </w:tc>
      </w:tr>
      <w:tr w:rsidR="001D3A4E" w:rsidRPr="009D3989" w:rsidTr="00A47724">
        <w:trPr>
          <w:gridAfter w:val="1"/>
          <w:wAfter w:w="10" w:type="dxa"/>
        </w:trPr>
        <w:tc>
          <w:tcPr>
            <w:tcW w:w="4981" w:type="dxa"/>
          </w:tcPr>
          <w:p w:rsidR="009C2D04" w:rsidRDefault="009E10EE" w:rsidP="009C2D04">
            <w:pPr>
              <w:keepNext/>
              <w:shd w:val="clear" w:color="auto" w:fill="FFFFFF" w:themeFill="background1"/>
            </w:pPr>
            <w:r w:rsidRPr="009E10EE">
              <w:rPr>
                <w:noProof/>
                <w:lang w:val="fr-FR" w:eastAsia="fr-FR"/>
              </w:rPr>
              <w:drawing>
                <wp:inline distT="0" distB="0" distL="0" distR="0">
                  <wp:extent cx="2970000" cy="38268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0000" cy="3826800"/>
                          </a:xfrm>
                          <a:prstGeom prst="rect">
                            <a:avLst/>
                          </a:prstGeom>
                          <a:noFill/>
                          <a:ln>
                            <a:noFill/>
                          </a:ln>
                        </pic:spPr>
                      </pic:pic>
                    </a:graphicData>
                  </a:graphic>
                </wp:inline>
              </w:drawing>
            </w:r>
          </w:p>
          <w:p w:rsidR="001D3A4E" w:rsidRPr="009D3989" w:rsidRDefault="009C2D04" w:rsidP="009C2D04">
            <w:pPr>
              <w:pStyle w:val="Lgende"/>
            </w:pPr>
            <w:bookmarkStart w:id="5" w:name="_Ref510630672"/>
            <w:r>
              <w:t xml:space="preserve">Figure </w:t>
            </w:r>
            <w:r w:rsidR="00C07E46">
              <w:fldChar w:fldCharType="begin"/>
            </w:r>
            <w:r w:rsidR="009369A3">
              <w:instrText xml:space="preserve"> SEQ Figure \* ARABIC </w:instrText>
            </w:r>
            <w:r w:rsidR="00C07E46">
              <w:fldChar w:fldCharType="separate"/>
            </w:r>
            <w:r w:rsidR="008F73F5">
              <w:rPr>
                <w:noProof/>
              </w:rPr>
              <w:t>5</w:t>
            </w:r>
            <w:r w:rsidR="00C07E46">
              <w:rPr>
                <w:noProof/>
              </w:rPr>
              <w:fldChar w:fldCharType="end"/>
            </w:r>
            <w:bookmarkEnd w:id="5"/>
            <w:r>
              <w:t xml:space="preserve"> – Sensitivity to coding rate: 130ns, 120kmph, 16QAM ½ and ¾, 5RB</w:t>
            </w:r>
          </w:p>
        </w:tc>
        <w:tc>
          <w:tcPr>
            <w:tcW w:w="4981" w:type="dxa"/>
          </w:tcPr>
          <w:p w:rsidR="008F73F5" w:rsidRDefault="008F73F5" w:rsidP="008F73F5">
            <w:pPr>
              <w:keepNext/>
              <w:shd w:val="clear" w:color="auto" w:fill="FFFFFF" w:themeFill="background1"/>
            </w:pPr>
            <w:r w:rsidRPr="008F73F5">
              <w:rPr>
                <w:noProof/>
                <w:lang w:val="fr-FR" w:eastAsia="fr-FR"/>
              </w:rPr>
              <w:drawing>
                <wp:inline distT="0" distB="0" distL="0" distR="0">
                  <wp:extent cx="2970000" cy="38268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0000" cy="3826800"/>
                          </a:xfrm>
                          <a:prstGeom prst="rect">
                            <a:avLst/>
                          </a:prstGeom>
                          <a:noFill/>
                          <a:ln>
                            <a:noFill/>
                          </a:ln>
                        </pic:spPr>
                      </pic:pic>
                    </a:graphicData>
                  </a:graphic>
                </wp:inline>
              </w:drawing>
            </w:r>
          </w:p>
          <w:p w:rsidR="001D3A4E" w:rsidRPr="009D3989" w:rsidRDefault="008F73F5" w:rsidP="008F73F5">
            <w:pPr>
              <w:pStyle w:val="Lgende"/>
            </w:pPr>
            <w:bookmarkStart w:id="6" w:name="_Ref510627607"/>
            <w:r>
              <w:t xml:space="preserve">Figure </w:t>
            </w:r>
            <w:r w:rsidR="00C07E46">
              <w:fldChar w:fldCharType="begin"/>
            </w:r>
            <w:r w:rsidR="009369A3">
              <w:instrText xml:space="preserve"> SEQ Figure \* ARABIC </w:instrText>
            </w:r>
            <w:r w:rsidR="00C07E46">
              <w:fldChar w:fldCharType="separate"/>
            </w:r>
            <w:r>
              <w:rPr>
                <w:noProof/>
              </w:rPr>
              <w:t>6</w:t>
            </w:r>
            <w:r w:rsidR="00C07E46">
              <w:rPr>
                <w:noProof/>
              </w:rPr>
              <w:fldChar w:fldCharType="end"/>
            </w:r>
            <w:bookmarkEnd w:id="6"/>
            <w:r>
              <w:t xml:space="preserve"> – Large delay spread, large allocation: 1000ns, 16RB, QPSK ½ </w:t>
            </w:r>
          </w:p>
        </w:tc>
      </w:tr>
    </w:tbl>
    <w:p w:rsidR="00650F10" w:rsidRDefault="007C01F9" w:rsidP="00496834">
      <w:pPr>
        <w:shd w:val="clear" w:color="auto" w:fill="FFFFFF" w:themeFill="background1"/>
      </w:pPr>
      <w:r w:rsidRPr="007C01F9">
        <w:rPr>
          <w:color w:val="FF0000"/>
        </w:rPr>
        <w:t>* - 0.5dB MPR loss for SFBC is NOT included in the figures here-above</w:t>
      </w:r>
      <w:r w:rsidR="00650F10">
        <w:br w:type="page"/>
      </w:r>
    </w:p>
    <w:p w:rsidR="00273C94" w:rsidRDefault="00273C94" w:rsidP="00273C94">
      <w:pPr>
        <w:shd w:val="clear" w:color="auto" w:fill="FFFFFF" w:themeFill="background1"/>
      </w:pPr>
    </w:p>
    <w:p w:rsidR="00380FB8" w:rsidRDefault="00380FB8" w:rsidP="00380FB8">
      <w:pPr>
        <w:pStyle w:val="Lgende"/>
        <w:keepNext/>
      </w:pPr>
      <w:bookmarkStart w:id="7" w:name="_Ref498724653"/>
      <w:r w:rsidRPr="009D3989">
        <w:t xml:space="preserve">Table </w:t>
      </w:r>
      <w:r w:rsidR="00C07E46">
        <w:fldChar w:fldCharType="begin"/>
      </w:r>
      <w:r w:rsidR="009369A3">
        <w:instrText xml:space="preserve"> SEQ Table \* ARABIC </w:instrText>
      </w:r>
      <w:r w:rsidR="00C07E46">
        <w:fldChar w:fldCharType="separate"/>
      </w:r>
      <w:r w:rsidR="008D4EAE">
        <w:rPr>
          <w:noProof/>
        </w:rPr>
        <w:t>1</w:t>
      </w:r>
      <w:r w:rsidR="00C07E46">
        <w:rPr>
          <w:noProof/>
        </w:rPr>
        <w:fldChar w:fldCharType="end"/>
      </w:r>
      <w:bookmarkEnd w:id="7"/>
      <w:r w:rsidRPr="009D3989">
        <w:t xml:space="preserve"> SNR gain at FER=10</w:t>
      </w:r>
      <w:r w:rsidRPr="009D3989">
        <w:rPr>
          <w:vertAlign w:val="superscript"/>
        </w:rPr>
        <w:t>-1</w:t>
      </w:r>
      <w:r w:rsidRPr="009D3989">
        <w:t xml:space="preserve"> of SC-SFBC over other diversity schemes for QPSK modulation</w:t>
      </w:r>
    </w:p>
    <w:tbl>
      <w:tblPr>
        <w:tblW w:w="9949" w:type="dxa"/>
        <w:tblInd w:w="57" w:type="dxa"/>
        <w:tblCellMar>
          <w:left w:w="70" w:type="dxa"/>
          <w:right w:w="70" w:type="dxa"/>
        </w:tblCellMar>
        <w:tblLook w:val="04A0" w:firstRow="1" w:lastRow="0" w:firstColumn="1" w:lastColumn="0" w:noHBand="0" w:noVBand="1"/>
      </w:tblPr>
      <w:tblGrid>
        <w:gridCol w:w="476"/>
        <w:gridCol w:w="476"/>
        <w:gridCol w:w="476"/>
        <w:gridCol w:w="713"/>
        <w:gridCol w:w="976"/>
        <w:gridCol w:w="976"/>
        <w:gridCol w:w="976"/>
        <w:gridCol w:w="976"/>
        <w:gridCol w:w="976"/>
        <w:gridCol w:w="976"/>
        <w:gridCol w:w="976"/>
        <w:gridCol w:w="976"/>
      </w:tblGrid>
      <w:tr w:rsidR="004A3CA9" w:rsidRPr="004A3CA9" w:rsidTr="004A3CA9">
        <w:trPr>
          <w:trHeight w:val="664"/>
        </w:trPr>
        <w:tc>
          <w:tcPr>
            <w:tcW w:w="476" w:type="dxa"/>
            <w:tcBorders>
              <w:top w:val="single" w:sz="8" w:space="0" w:color="auto"/>
              <w:left w:val="single" w:sz="8" w:space="0" w:color="auto"/>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eastAsia="fr-FR"/>
              </w:rPr>
            </w:pPr>
            <w:r w:rsidRPr="004A3CA9">
              <w:rPr>
                <w:rFonts w:eastAsia="Times New Roman"/>
                <w:color w:val="000000"/>
                <w:sz w:val="18"/>
                <w:szCs w:val="18"/>
                <w:lang w:eastAsia="fr-FR"/>
              </w:rPr>
              <w:t> </w:t>
            </w:r>
          </w:p>
        </w:tc>
        <w:tc>
          <w:tcPr>
            <w:tcW w:w="476" w:type="dxa"/>
            <w:tcBorders>
              <w:top w:val="single" w:sz="8" w:space="0" w:color="auto"/>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eastAsia="fr-FR"/>
              </w:rPr>
            </w:pPr>
            <w:r w:rsidRPr="004A3CA9">
              <w:rPr>
                <w:rFonts w:eastAsia="Times New Roman"/>
                <w:color w:val="000000"/>
                <w:sz w:val="18"/>
                <w:szCs w:val="18"/>
                <w:lang w:eastAsia="fr-FR"/>
              </w:rPr>
              <w:t> </w:t>
            </w:r>
          </w:p>
        </w:tc>
        <w:tc>
          <w:tcPr>
            <w:tcW w:w="476" w:type="dxa"/>
            <w:tcBorders>
              <w:top w:val="single" w:sz="8" w:space="0" w:color="auto"/>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eastAsia="fr-FR"/>
              </w:rPr>
            </w:pPr>
            <w:r w:rsidRPr="004A3CA9">
              <w:rPr>
                <w:rFonts w:eastAsia="Times New Roman"/>
                <w:color w:val="000000"/>
                <w:sz w:val="18"/>
                <w:szCs w:val="18"/>
                <w:lang w:eastAsia="fr-FR"/>
              </w:rPr>
              <w:t> </w:t>
            </w:r>
          </w:p>
        </w:tc>
        <w:tc>
          <w:tcPr>
            <w:tcW w:w="713" w:type="dxa"/>
            <w:tcBorders>
              <w:top w:val="single" w:sz="8" w:space="0" w:color="auto"/>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eastAsia="fr-FR"/>
              </w:rPr>
            </w:pPr>
            <w:r w:rsidRPr="004A3CA9">
              <w:rPr>
                <w:rFonts w:eastAsia="Times New Roman"/>
                <w:color w:val="000000"/>
                <w:sz w:val="18"/>
                <w:szCs w:val="18"/>
                <w:lang w:eastAsia="fr-FR"/>
              </w:rPr>
              <w:t> </w:t>
            </w:r>
          </w:p>
        </w:tc>
        <w:tc>
          <w:tcPr>
            <w:tcW w:w="976"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SFBC (0.5dB</w:t>
            </w:r>
            <w:r w:rsidRPr="004A3CA9">
              <w:rPr>
                <w:rFonts w:eastAsia="Times New Roman"/>
                <w:b/>
                <w:bCs/>
                <w:color w:val="000000"/>
                <w:sz w:val="18"/>
                <w:szCs w:val="18"/>
                <w:lang w:val="fr-FR" w:eastAsia="fr-FR"/>
              </w:rPr>
              <w:br/>
              <w:t>MPR)</w:t>
            </w:r>
          </w:p>
        </w:tc>
        <w:tc>
          <w:tcPr>
            <w:tcW w:w="976"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2/1024</w:t>
            </w:r>
          </w:p>
        </w:tc>
        <w:tc>
          <w:tcPr>
            <w:tcW w:w="976"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4/1024</w:t>
            </w:r>
          </w:p>
        </w:tc>
        <w:tc>
          <w:tcPr>
            <w:tcW w:w="976"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8/1024</w:t>
            </w:r>
          </w:p>
        </w:tc>
        <w:tc>
          <w:tcPr>
            <w:tcW w:w="976"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16/1024</w:t>
            </w:r>
          </w:p>
        </w:tc>
        <w:tc>
          <w:tcPr>
            <w:tcW w:w="976"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32/1024</w:t>
            </w:r>
          </w:p>
        </w:tc>
        <w:tc>
          <w:tcPr>
            <w:tcW w:w="976"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64/1024</w:t>
            </w:r>
          </w:p>
        </w:tc>
        <w:tc>
          <w:tcPr>
            <w:tcW w:w="976" w:type="dxa"/>
            <w:tcBorders>
              <w:top w:val="single" w:sz="8" w:space="0" w:color="auto"/>
              <w:left w:val="nil"/>
              <w:bottom w:val="single" w:sz="8" w:space="0" w:color="auto"/>
              <w:right w:val="single" w:sz="8" w:space="0" w:color="auto"/>
            </w:tcBorders>
            <w:shd w:val="clear" w:color="000000" w:fill="EEECE1"/>
            <w:noWrap/>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SIMO</w:t>
            </w:r>
          </w:p>
        </w:tc>
      </w:tr>
      <w:tr w:rsidR="004A3CA9" w:rsidRPr="004A3CA9" w:rsidTr="004A3CA9">
        <w:trPr>
          <w:trHeight w:val="271"/>
        </w:trPr>
        <w:tc>
          <w:tcPr>
            <w:tcW w:w="476" w:type="dxa"/>
            <w:vMerge w:val="restart"/>
            <w:tcBorders>
              <w:top w:val="nil"/>
              <w:left w:val="single" w:sz="8"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130ns</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15kmph</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nil"/>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nil"/>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6" w:type="dxa"/>
            <w:tcBorders>
              <w:top w:val="nil"/>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nil"/>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nil"/>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60kmph</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120kmph</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300kmph</w:t>
            </w:r>
          </w:p>
        </w:tc>
        <w:tc>
          <w:tcPr>
            <w:tcW w:w="476"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76" w:type="dxa"/>
            <w:tcBorders>
              <w:top w:val="nil"/>
              <w:left w:val="nil"/>
              <w:bottom w:val="single" w:sz="4" w:space="0" w:color="auto"/>
              <w:right w:val="single" w:sz="8"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2,1</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5,2</w:t>
            </w:r>
          </w:p>
        </w:tc>
      </w:tr>
      <w:tr w:rsidR="004A3CA9" w:rsidRPr="004A3CA9" w:rsidTr="004A3CA9">
        <w:trPr>
          <w:trHeight w:val="285"/>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8"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r>
      <w:tr w:rsidR="004A3CA9" w:rsidRPr="004A3CA9" w:rsidTr="004A3CA9">
        <w:trPr>
          <w:trHeight w:val="271"/>
        </w:trPr>
        <w:tc>
          <w:tcPr>
            <w:tcW w:w="476" w:type="dxa"/>
            <w:vMerge w:val="restart"/>
            <w:tcBorders>
              <w:top w:val="nil"/>
              <w:left w:val="single" w:sz="8"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300ns</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15kmph</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6"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6"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8"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60kmph</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120kmph</w:t>
            </w: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300kmph</w:t>
            </w:r>
          </w:p>
        </w:tc>
        <w:tc>
          <w:tcPr>
            <w:tcW w:w="476"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3,6</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5,6</w:t>
            </w:r>
          </w:p>
        </w:tc>
      </w:tr>
      <w:tr w:rsidR="004A3CA9" w:rsidRPr="004A3CA9" w:rsidTr="004A3CA9">
        <w:trPr>
          <w:trHeight w:val="271"/>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6"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6"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3,4</w:t>
            </w:r>
          </w:p>
        </w:tc>
      </w:tr>
      <w:tr w:rsidR="004A3CA9" w:rsidRPr="004A3CA9" w:rsidTr="004A3CA9">
        <w:trPr>
          <w:trHeight w:val="285"/>
        </w:trPr>
        <w:tc>
          <w:tcPr>
            <w:tcW w:w="476"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6"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3" w:type="dxa"/>
            <w:tcBorders>
              <w:top w:val="nil"/>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nil"/>
              <w:left w:val="nil"/>
              <w:bottom w:val="single" w:sz="8"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6"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6" w:type="dxa"/>
            <w:tcBorders>
              <w:top w:val="single" w:sz="4" w:space="0" w:color="auto"/>
              <w:left w:val="single" w:sz="4" w:space="0" w:color="auto"/>
              <w:bottom w:val="single" w:sz="8"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bl>
    <w:p w:rsidR="00650F10" w:rsidRDefault="00650F10" w:rsidP="00380FB8">
      <w:pPr>
        <w:spacing w:after="160" w:line="259" w:lineRule="auto"/>
        <w:jc w:val="left"/>
        <w:rPr>
          <w:rFonts w:ascii="Calibri" w:eastAsia="Calibri" w:hAnsi="Calibri"/>
          <w:sz w:val="22"/>
          <w:szCs w:val="22"/>
          <w:lang w:eastAsia="en-US"/>
        </w:rPr>
      </w:pPr>
    </w:p>
    <w:tbl>
      <w:tblPr>
        <w:tblW w:w="9962" w:type="dxa"/>
        <w:tblInd w:w="57" w:type="dxa"/>
        <w:tblCellMar>
          <w:left w:w="70" w:type="dxa"/>
          <w:right w:w="70" w:type="dxa"/>
        </w:tblCellMar>
        <w:tblLook w:val="04A0" w:firstRow="1" w:lastRow="0" w:firstColumn="1" w:lastColumn="0" w:noHBand="0" w:noVBand="1"/>
      </w:tblPr>
      <w:tblGrid>
        <w:gridCol w:w="477"/>
        <w:gridCol w:w="477"/>
        <w:gridCol w:w="477"/>
        <w:gridCol w:w="715"/>
        <w:gridCol w:w="977"/>
        <w:gridCol w:w="977"/>
        <w:gridCol w:w="977"/>
        <w:gridCol w:w="977"/>
        <w:gridCol w:w="977"/>
        <w:gridCol w:w="977"/>
        <w:gridCol w:w="977"/>
        <w:gridCol w:w="977"/>
      </w:tblGrid>
      <w:tr w:rsidR="004A3CA9" w:rsidRPr="004A3CA9" w:rsidTr="004A3CA9">
        <w:trPr>
          <w:trHeight w:val="288"/>
        </w:trPr>
        <w:tc>
          <w:tcPr>
            <w:tcW w:w="477" w:type="dxa"/>
            <w:vMerge w:val="restart"/>
            <w:tcBorders>
              <w:top w:val="single" w:sz="8" w:space="0" w:color="auto"/>
              <w:left w:val="single" w:sz="8"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lastRenderedPageBreak/>
              <w:t>1000ns</w:t>
            </w:r>
          </w:p>
        </w:tc>
        <w:tc>
          <w:tcPr>
            <w:tcW w:w="477" w:type="dxa"/>
            <w:vMerge w:val="restart"/>
            <w:tcBorders>
              <w:top w:val="single" w:sz="8" w:space="0" w:color="auto"/>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15kmph</w:t>
            </w:r>
          </w:p>
        </w:tc>
        <w:tc>
          <w:tcPr>
            <w:tcW w:w="477" w:type="dxa"/>
            <w:vMerge w:val="restart"/>
            <w:tcBorders>
              <w:top w:val="single" w:sz="8" w:space="0" w:color="auto"/>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5" w:type="dxa"/>
            <w:tcBorders>
              <w:top w:val="single" w:sz="8" w:space="0" w:color="auto"/>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7"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7"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7"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8" w:space="0" w:color="auto"/>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8"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8" w:space="0" w:color="auto"/>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single" w:sz="8" w:space="0" w:color="auto"/>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single" w:sz="8" w:space="0" w:color="auto"/>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single" w:sz="8" w:space="0" w:color="auto"/>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single" w:sz="8" w:space="0" w:color="auto"/>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single" w:sz="8" w:space="0" w:color="auto"/>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single" w:sz="8" w:space="0" w:color="auto"/>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single" w:sz="8" w:space="0" w:color="auto"/>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60kmph</w:t>
            </w:r>
          </w:p>
        </w:tc>
        <w:tc>
          <w:tcPr>
            <w:tcW w:w="477"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120kmph</w:t>
            </w:r>
          </w:p>
        </w:tc>
        <w:tc>
          <w:tcPr>
            <w:tcW w:w="477"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3/4</w:t>
            </w: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6RB</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30RB</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300kmph</w:t>
            </w:r>
          </w:p>
        </w:tc>
        <w:tc>
          <w:tcPr>
            <w:tcW w:w="477"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QPSK 1/2</w:t>
            </w: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10RB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3,2</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4,2</w:t>
            </w:r>
          </w:p>
        </w:tc>
      </w:tr>
      <w:tr w:rsidR="004A3CA9" w:rsidRPr="004A3CA9" w:rsidTr="004A3CA9">
        <w:trPr>
          <w:trHeight w:val="288"/>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16RB</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7"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2,7</w:t>
            </w:r>
          </w:p>
        </w:tc>
      </w:tr>
      <w:tr w:rsidR="004A3CA9" w:rsidRPr="004A3CA9" w:rsidTr="004A3CA9">
        <w:trPr>
          <w:trHeight w:val="303"/>
        </w:trPr>
        <w:tc>
          <w:tcPr>
            <w:tcW w:w="477" w:type="dxa"/>
            <w:vMerge/>
            <w:tcBorders>
              <w:top w:val="single" w:sz="8" w:space="0" w:color="auto"/>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7"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5" w:type="dxa"/>
            <w:tcBorders>
              <w:top w:val="nil"/>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44RB</w:t>
            </w:r>
          </w:p>
        </w:tc>
        <w:tc>
          <w:tcPr>
            <w:tcW w:w="977"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7"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single" w:sz="4" w:space="0" w:color="auto"/>
              <w:left w:val="single" w:sz="4" w:space="0" w:color="auto"/>
              <w:bottom w:val="single" w:sz="8"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7" w:type="dxa"/>
            <w:tcBorders>
              <w:top w:val="nil"/>
              <w:left w:val="nil"/>
              <w:bottom w:val="single" w:sz="8"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nil"/>
              <w:left w:val="nil"/>
              <w:bottom w:val="single" w:sz="8"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nil"/>
              <w:left w:val="nil"/>
              <w:bottom w:val="single" w:sz="8"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77" w:type="dxa"/>
            <w:tcBorders>
              <w:top w:val="single" w:sz="4" w:space="0" w:color="auto"/>
              <w:left w:val="single" w:sz="4" w:space="0" w:color="auto"/>
              <w:bottom w:val="single" w:sz="8"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bl>
    <w:p w:rsidR="00650F10" w:rsidRDefault="00650F10">
      <w:pPr>
        <w:spacing w:after="0"/>
        <w:jc w:val="left"/>
        <w:rPr>
          <w:rFonts w:ascii="Calibri" w:eastAsia="Calibri" w:hAnsi="Calibri"/>
          <w:sz w:val="22"/>
          <w:szCs w:val="22"/>
          <w:lang w:eastAsia="en-US"/>
        </w:rPr>
      </w:pPr>
      <w:r>
        <w:rPr>
          <w:rFonts w:ascii="Calibri" w:eastAsia="Calibri" w:hAnsi="Calibri"/>
          <w:sz w:val="22"/>
          <w:szCs w:val="22"/>
          <w:lang w:eastAsia="en-US"/>
        </w:rPr>
        <w:br w:type="page"/>
      </w:r>
    </w:p>
    <w:p w:rsidR="009D3989" w:rsidRPr="006C2369" w:rsidRDefault="009D3989" w:rsidP="00380FB8">
      <w:pPr>
        <w:spacing w:after="160" w:line="259" w:lineRule="auto"/>
        <w:jc w:val="left"/>
        <w:rPr>
          <w:rFonts w:ascii="Calibri" w:eastAsia="Calibri" w:hAnsi="Calibri"/>
          <w:sz w:val="22"/>
          <w:szCs w:val="22"/>
          <w:lang w:eastAsia="en-US"/>
        </w:rPr>
      </w:pPr>
    </w:p>
    <w:p w:rsidR="00380FB8" w:rsidRDefault="00380FB8" w:rsidP="00380FB8">
      <w:pPr>
        <w:pStyle w:val="Lgende"/>
        <w:keepNext/>
      </w:pPr>
      <w:bookmarkStart w:id="8" w:name="_Ref498724655"/>
      <w:r w:rsidRPr="009D3989">
        <w:t xml:space="preserve">Table </w:t>
      </w:r>
      <w:r w:rsidR="00C07E46">
        <w:fldChar w:fldCharType="begin"/>
      </w:r>
      <w:r w:rsidR="009369A3">
        <w:instrText xml:space="preserve"> SEQ Table \* ARABIC </w:instrText>
      </w:r>
      <w:r w:rsidR="00C07E46">
        <w:fldChar w:fldCharType="separate"/>
      </w:r>
      <w:r w:rsidR="008D4EAE">
        <w:rPr>
          <w:noProof/>
        </w:rPr>
        <w:t>2</w:t>
      </w:r>
      <w:r w:rsidR="00C07E46">
        <w:rPr>
          <w:noProof/>
        </w:rPr>
        <w:fldChar w:fldCharType="end"/>
      </w:r>
      <w:bookmarkEnd w:id="8"/>
      <w:r w:rsidRPr="009D3989">
        <w:t xml:space="preserve"> SNR gain at FER=10</w:t>
      </w:r>
      <w:r w:rsidRPr="009D3989">
        <w:rPr>
          <w:vertAlign w:val="superscript"/>
        </w:rPr>
        <w:t>-1</w:t>
      </w:r>
      <w:r w:rsidRPr="009D3989">
        <w:t xml:space="preserve"> of SC-SFBC over other diversity schemes for 16QAM modulation</w:t>
      </w:r>
    </w:p>
    <w:tbl>
      <w:tblPr>
        <w:tblW w:w="9864" w:type="dxa"/>
        <w:tblInd w:w="57" w:type="dxa"/>
        <w:tblCellMar>
          <w:left w:w="70" w:type="dxa"/>
          <w:right w:w="70" w:type="dxa"/>
        </w:tblCellMar>
        <w:tblLook w:val="04A0" w:firstRow="1" w:lastRow="0" w:firstColumn="1" w:lastColumn="0" w:noHBand="0" w:noVBand="1"/>
      </w:tblPr>
      <w:tblGrid>
        <w:gridCol w:w="475"/>
        <w:gridCol w:w="475"/>
        <w:gridCol w:w="712"/>
        <w:gridCol w:w="712"/>
        <w:gridCol w:w="925"/>
        <w:gridCol w:w="925"/>
        <w:gridCol w:w="925"/>
        <w:gridCol w:w="925"/>
        <w:gridCol w:w="939"/>
        <w:gridCol w:w="939"/>
        <w:gridCol w:w="939"/>
        <w:gridCol w:w="973"/>
      </w:tblGrid>
      <w:tr w:rsidR="004A3CA9" w:rsidRPr="004A3CA9" w:rsidTr="00540B48">
        <w:trPr>
          <w:trHeight w:val="736"/>
        </w:trPr>
        <w:tc>
          <w:tcPr>
            <w:tcW w:w="475" w:type="dxa"/>
            <w:tcBorders>
              <w:top w:val="single" w:sz="8" w:space="0" w:color="auto"/>
              <w:left w:val="single" w:sz="8" w:space="0" w:color="auto"/>
              <w:bottom w:val="single" w:sz="8" w:space="0" w:color="auto"/>
              <w:right w:val="single" w:sz="4" w:space="0" w:color="auto"/>
            </w:tcBorders>
            <w:shd w:val="clear" w:color="000000" w:fill="EEECE1"/>
            <w:noWrap/>
            <w:vAlign w:val="bottom"/>
            <w:hideMark/>
          </w:tcPr>
          <w:p w:rsidR="004A3CA9" w:rsidRPr="0006093F" w:rsidRDefault="004A3CA9" w:rsidP="004A3CA9">
            <w:pPr>
              <w:spacing w:after="0"/>
              <w:jc w:val="left"/>
              <w:rPr>
                <w:rFonts w:eastAsia="Times New Roman"/>
                <w:color w:val="000000"/>
                <w:sz w:val="18"/>
                <w:szCs w:val="18"/>
                <w:lang w:eastAsia="fr-FR"/>
              </w:rPr>
            </w:pPr>
            <w:r w:rsidRPr="0006093F">
              <w:rPr>
                <w:rFonts w:eastAsia="Times New Roman"/>
                <w:color w:val="000000"/>
                <w:sz w:val="18"/>
                <w:szCs w:val="18"/>
                <w:lang w:eastAsia="fr-FR"/>
              </w:rPr>
              <w:t> </w:t>
            </w:r>
          </w:p>
        </w:tc>
        <w:tc>
          <w:tcPr>
            <w:tcW w:w="475" w:type="dxa"/>
            <w:tcBorders>
              <w:top w:val="single" w:sz="8" w:space="0" w:color="auto"/>
              <w:left w:val="nil"/>
              <w:bottom w:val="single" w:sz="8" w:space="0" w:color="auto"/>
              <w:right w:val="single" w:sz="4" w:space="0" w:color="auto"/>
            </w:tcBorders>
            <w:shd w:val="clear" w:color="000000" w:fill="EEECE1"/>
            <w:noWrap/>
            <w:vAlign w:val="bottom"/>
            <w:hideMark/>
          </w:tcPr>
          <w:p w:rsidR="004A3CA9" w:rsidRPr="0006093F" w:rsidRDefault="004A3CA9" w:rsidP="004A3CA9">
            <w:pPr>
              <w:spacing w:after="0"/>
              <w:jc w:val="left"/>
              <w:rPr>
                <w:rFonts w:eastAsia="Times New Roman"/>
                <w:color w:val="000000"/>
                <w:sz w:val="18"/>
                <w:szCs w:val="18"/>
                <w:lang w:eastAsia="fr-FR"/>
              </w:rPr>
            </w:pPr>
            <w:r w:rsidRPr="0006093F">
              <w:rPr>
                <w:rFonts w:eastAsia="Times New Roman"/>
                <w:color w:val="000000"/>
                <w:sz w:val="18"/>
                <w:szCs w:val="18"/>
                <w:lang w:eastAsia="fr-FR"/>
              </w:rPr>
              <w:t> </w:t>
            </w:r>
          </w:p>
        </w:tc>
        <w:tc>
          <w:tcPr>
            <w:tcW w:w="712" w:type="dxa"/>
            <w:tcBorders>
              <w:top w:val="single" w:sz="8" w:space="0" w:color="auto"/>
              <w:left w:val="nil"/>
              <w:bottom w:val="single" w:sz="8" w:space="0" w:color="auto"/>
              <w:right w:val="single" w:sz="4" w:space="0" w:color="auto"/>
            </w:tcBorders>
            <w:shd w:val="clear" w:color="000000" w:fill="EEECE1"/>
            <w:noWrap/>
            <w:vAlign w:val="bottom"/>
            <w:hideMark/>
          </w:tcPr>
          <w:p w:rsidR="004A3CA9" w:rsidRPr="0006093F" w:rsidRDefault="004A3CA9" w:rsidP="004A3CA9">
            <w:pPr>
              <w:spacing w:after="0"/>
              <w:jc w:val="left"/>
              <w:rPr>
                <w:rFonts w:eastAsia="Times New Roman"/>
                <w:color w:val="000000"/>
                <w:sz w:val="18"/>
                <w:szCs w:val="18"/>
                <w:lang w:eastAsia="fr-FR"/>
              </w:rPr>
            </w:pPr>
            <w:r w:rsidRPr="0006093F">
              <w:rPr>
                <w:rFonts w:eastAsia="Times New Roman"/>
                <w:color w:val="000000"/>
                <w:sz w:val="18"/>
                <w:szCs w:val="18"/>
                <w:lang w:eastAsia="fr-FR"/>
              </w:rPr>
              <w:t> </w:t>
            </w:r>
          </w:p>
        </w:tc>
        <w:tc>
          <w:tcPr>
            <w:tcW w:w="712" w:type="dxa"/>
            <w:tcBorders>
              <w:top w:val="single" w:sz="8" w:space="0" w:color="auto"/>
              <w:left w:val="nil"/>
              <w:bottom w:val="single" w:sz="8" w:space="0" w:color="auto"/>
              <w:right w:val="single" w:sz="4" w:space="0" w:color="auto"/>
            </w:tcBorders>
            <w:shd w:val="clear" w:color="000000" w:fill="EEECE1"/>
            <w:noWrap/>
            <w:vAlign w:val="bottom"/>
            <w:hideMark/>
          </w:tcPr>
          <w:p w:rsidR="004A3CA9" w:rsidRPr="0006093F" w:rsidRDefault="004A3CA9" w:rsidP="004A3CA9">
            <w:pPr>
              <w:spacing w:after="0"/>
              <w:jc w:val="left"/>
              <w:rPr>
                <w:rFonts w:eastAsia="Times New Roman"/>
                <w:color w:val="000000"/>
                <w:sz w:val="18"/>
                <w:szCs w:val="18"/>
                <w:lang w:eastAsia="fr-FR"/>
              </w:rPr>
            </w:pPr>
            <w:r w:rsidRPr="0006093F">
              <w:rPr>
                <w:rFonts w:eastAsia="Times New Roman"/>
                <w:color w:val="000000"/>
                <w:sz w:val="18"/>
                <w:szCs w:val="18"/>
                <w:lang w:eastAsia="fr-FR"/>
              </w:rPr>
              <w:t> </w:t>
            </w:r>
          </w:p>
        </w:tc>
        <w:tc>
          <w:tcPr>
            <w:tcW w:w="925"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SFBC (0.5dB</w:t>
            </w:r>
            <w:r w:rsidRPr="004A3CA9">
              <w:rPr>
                <w:rFonts w:eastAsia="Times New Roman"/>
                <w:b/>
                <w:bCs/>
                <w:color w:val="000000"/>
                <w:sz w:val="18"/>
                <w:szCs w:val="18"/>
                <w:lang w:val="fr-FR" w:eastAsia="fr-FR"/>
              </w:rPr>
              <w:br/>
              <w:t>MPR)</w:t>
            </w:r>
          </w:p>
        </w:tc>
        <w:tc>
          <w:tcPr>
            <w:tcW w:w="925"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2/1024</w:t>
            </w:r>
          </w:p>
        </w:tc>
        <w:tc>
          <w:tcPr>
            <w:tcW w:w="925"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4/1024</w:t>
            </w:r>
          </w:p>
        </w:tc>
        <w:tc>
          <w:tcPr>
            <w:tcW w:w="925"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8/1024</w:t>
            </w:r>
          </w:p>
        </w:tc>
        <w:tc>
          <w:tcPr>
            <w:tcW w:w="939"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16/1024</w:t>
            </w:r>
          </w:p>
        </w:tc>
        <w:tc>
          <w:tcPr>
            <w:tcW w:w="939"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32/1024</w:t>
            </w:r>
          </w:p>
        </w:tc>
        <w:tc>
          <w:tcPr>
            <w:tcW w:w="939" w:type="dxa"/>
            <w:tcBorders>
              <w:top w:val="single" w:sz="8" w:space="0" w:color="auto"/>
              <w:left w:val="nil"/>
              <w:bottom w:val="single" w:sz="8" w:space="0" w:color="auto"/>
              <w:right w:val="single" w:sz="4" w:space="0" w:color="auto"/>
            </w:tcBorders>
            <w:shd w:val="clear" w:color="000000" w:fill="EEECE1"/>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SD-CDD</w:t>
            </w:r>
            <w:r w:rsidRPr="004A3CA9">
              <w:rPr>
                <w:rFonts w:eastAsia="Times New Roman"/>
                <w:b/>
                <w:bCs/>
                <w:color w:val="000000"/>
                <w:sz w:val="18"/>
                <w:szCs w:val="18"/>
                <w:lang w:val="fr-FR" w:eastAsia="fr-FR"/>
              </w:rPr>
              <w:br/>
              <w:t>64/1024</w:t>
            </w:r>
          </w:p>
        </w:tc>
        <w:tc>
          <w:tcPr>
            <w:tcW w:w="973" w:type="dxa"/>
            <w:tcBorders>
              <w:top w:val="single" w:sz="8" w:space="0" w:color="auto"/>
              <w:left w:val="nil"/>
              <w:bottom w:val="single" w:sz="8" w:space="0" w:color="auto"/>
              <w:right w:val="single" w:sz="8" w:space="0" w:color="auto"/>
            </w:tcBorders>
            <w:shd w:val="clear" w:color="000000" w:fill="EEECE1"/>
            <w:noWrap/>
            <w:vAlign w:val="center"/>
            <w:hideMark/>
          </w:tcPr>
          <w:p w:rsidR="004A3CA9" w:rsidRPr="004A3CA9" w:rsidRDefault="004A3CA9" w:rsidP="004A3CA9">
            <w:pPr>
              <w:spacing w:after="0"/>
              <w:jc w:val="center"/>
              <w:rPr>
                <w:rFonts w:eastAsia="Times New Roman"/>
                <w:b/>
                <w:bCs/>
                <w:color w:val="000000"/>
                <w:sz w:val="18"/>
                <w:szCs w:val="18"/>
                <w:lang w:val="fr-FR" w:eastAsia="fr-FR"/>
              </w:rPr>
            </w:pPr>
            <w:r w:rsidRPr="004A3CA9">
              <w:rPr>
                <w:rFonts w:eastAsia="Times New Roman"/>
                <w:b/>
                <w:bCs/>
                <w:color w:val="000000"/>
                <w:sz w:val="18"/>
                <w:szCs w:val="18"/>
                <w:lang w:val="fr-FR" w:eastAsia="fr-FR"/>
              </w:rPr>
              <w:t>SIMO</w:t>
            </w:r>
          </w:p>
        </w:tc>
      </w:tr>
      <w:tr w:rsidR="004A3CA9" w:rsidRPr="004A3CA9" w:rsidTr="00540B48">
        <w:trPr>
          <w:trHeight w:val="301"/>
        </w:trPr>
        <w:tc>
          <w:tcPr>
            <w:tcW w:w="475" w:type="dxa"/>
            <w:vMerge w:val="restart"/>
            <w:tcBorders>
              <w:top w:val="nil"/>
              <w:left w:val="single" w:sz="8"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130ns</w:t>
            </w:r>
          </w:p>
        </w:tc>
        <w:tc>
          <w:tcPr>
            <w:tcW w:w="475"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15kmph</w:t>
            </w: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1/2</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2,1</w:t>
            </w:r>
          </w:p>
        </w:tc>
        <w:tc>
          <w:tcPr>
            <w:tcW w:w="925"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c>
          <w:tcPr>
            <w:tcW w:w="925"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3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3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3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3"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2,1</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single" w:sz="4" w:space="0" w:color="auto"/>
              <w:bottom w:val="single" w:sz="4" w:space="0" w:color="000000"/>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8RB</w:t>
            </w:r>
          </w:p>
        </w:tc>
        <w:tc>
          <w:tcPr>
            <w:tcW w:w="925" w:type="dxa"/>
            <w:tcBorders>
              <w:top w:val="nil"/>
              <w:left w:val="nil"/>
              <w:bottom w:val="single" w:sz="4" w:space="0" w:color="auto"/>
              <w:right w:val="single" w:sz="4" w:space="0" w:color="auto"/>
            </w:tcBorders>
            <w:shd w:val="clear" w:color="auto"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auto"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25" w:type="dxa"/>
            <w:tcBorders>
              <w:top w:val="single" w:sz="4" w:space="0" w:color="auto"/>
              <w:left w:val="single" w:sz="4" w:space="0" w:color="auto"/>
              <w:bottom w:val="single" w:sz="4" w:space="0" w:color="auto"/>
              <w:right w:val="single" w:sz="4" w:space="0" w:color="auto"/>
            </w:tcBorders>
            <w:shd w:val="clear" w:color="auto"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3" w:type="dxa"/>
            <w:tcBorders>
              <w:top w:val="single" w:sz="4" w:space="0" w:color="auto"/>
              <w:left w:val="single" w:sz="4" w:space="0" w:color="auto"/>
              <w:bottom w:val="single" w:sz="4" w:space="0" w:color="auto"/>
              <w:right w:val="single" w:sz="4" w:space="0" w:color="auto"/>
            </w:tcBorders>
            <w:shd w:val="clear" w:color="auto"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single" w:sz="4" w:space="0" w:color="auto"/>
              <w:bottom w:val="single" w:sz="4" w:space="0" w:color="000000"/>
              <w:right w:val="single" w:sz="4" w:space="0" w:color="auto"/>
            </w:tcBorders>
            <w:shd w:val="clear" w:color="000000" w:fill="EEECE1"/>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22RB</w:t>
            </w:r>
          </w:p>
        </w:tc>
        <w:tc>
          <w:tcPr>
            <w:tcW w:w="925" w:type="dxa"/>
            <w:tcBorders>
              <w:top w:val="nil"/>
              <w:left w:val="nil"/>
              <w:bottom w:val="single" w:sz="4" w:space="0" w:color="auto"/>
              <w:right w:val="single" w:sz="4" w:space="0" w:color="auto"/>
            </w:tcBorders>
            <w:shd w:val="clear" w:color="auto"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25" w:type="dxa"/>
            <w:tcBorders>
              <w:top w:val="single" w:sz="4" w:space="0" w:color="auto"/>
              <w:left w:val="single" w:sz="4" w:space="0" w:color="auto"/>
              <w:bottom w:val="single" w:sz="4" w:space="0" w:color="auto"/>
              <w:right w:val="single" w:sz="4" w:space="0" w:color="auto"/>
            </w:tcBorders>
            <w:shd w:val="clear" w:color="auto"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auto"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val="restart"/>
            <w:tcBorders>
              <w:top w:val="nil"/>
              <w:left w:val="single" w:sz="4" w:space="0" w:color="auto"/>
              <w:bottom w:val="single" w:sz="4" w:space="0" w:color="000000"/>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3/4</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2,1</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60kmph</w:t>
            </w: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1/2</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8RB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22RB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3/4</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2,1</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120kmph</w:t>
            </w: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1/2</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8RB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22RB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val="restart"/>
            <w:tcBorders>
              <w:top w:val="nil"/>
              <w:left w:val="single" w:sz="4" w:space="0" w:color="auto"/>
              <w:bottom w:val="single" w:sz="8" w:space="0" w:color="000000"/>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3/4</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4,7</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4,7</w:t>
            </w:r>
          </w:p>
        </w:tc>
      </w:tr>
      <w:tr w:rsidR="004A3CA9" w:rsidRPr="004A3CA9" w:rsidTr="00540B48">
        <w:trPr>
          <w:trHeight w:val="316"/>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15RB</w:t>
            </w:r>
          </w:p>
        </w:tc>
        <w:tc>
          <w:tcPr>
            <w:tcW w:w="925" w:type="dxa"/>
            <w:tcBorders>
              <w:top w:val="nil"/>
              <w:left w:val="nil"/>
              <w:bottom w:val="single" w:sz="8"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25"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2,7</w:t>
            </w:r>
          </w:p>
        </w:tc>
        <w:tc>
          <w:tcPr>
            <w:tcW w:w="925"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2,5</w:t>
            </w:r>
          </w:p>
        </w:tc>
        <w:tc>
          <w:tcPr>
            <w:tcW w:w="925"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c>
          <w:tcPr>
            <w:tcW w:w="93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c>
          <w:tcPr>
            <w:tcW w:w="93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3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73" w:type="dxa"/>
            <w:tcBorders>
              <w:top w:val="single" w:sz="4" w:space="0" w:color="auto"/>
              <w:left w:val="single" w:sz="4" w:space="0" w:color="auto"/>
              <w:bottom w:val="single" w:sz="8"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4,8</w:t>
            </w:r>
          </w:p>
        </w:tc>
      </w:tr>
      <w:tr w:rsidR="004A3CA9" w:rsidRPr="004A3CA9" w:rsidTr="00540B48">
        <w:trPr>
          <w:trHeight w:val="301"/>
        </w:trPr>
        <w:tc>
          <w:tcPr>
            <w:tcW w:w="475" w:type="dxa"/>
            <w:vMerge w:val="restart"/>
            <w:tcBorders>
              <w:top w:val="nil"/>
              <w:left w:val="single" w:sz="8"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300ns</w:t>
            </w:r>
          </w:p>
        </w:tc>
        <w:tc>
          <w:tcPr>
            <w:tcW w:w="475"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15kmph</w:t>
            </w: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1/2</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c>
          <w:tcPr>
            <w:tcW w:w="925"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c>
          <w:tcPr>
            <w:tcW w:w="925"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3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3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3"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8RB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22RB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39"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3/4</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1,9</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2,1</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60kmph</w:t>
            </w: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1/2</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0,8</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8RB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22RB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39" w:type="dxa"/>
            <w:tcBorders>
              <w:top w:val="nil"/>
              <w:left w:val="nil"/>
              <w:bottom w:val="single" w:sz="4" w:space="0" w:color="auto"/>
              <w:right w:val="single" w:sz="4" w:space="0" w:color="auto"/>
            </w:tcBorders>
            <w:shd w:val="clear" w:color="auto" w:fill="auto"/>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3/4</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2,2</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2,2</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1,5</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0,6</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120kmph</w:t>
            </w:r>
          </w:p>
        </w:tc>
        <w:tc>
          <w:tcPr>
            <w:tcW w:w="712"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1/2</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0,9</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0,7</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8RB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1,1</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3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1,7</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4" w:space="0" w:color="auto"/>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22RB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0,4</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0,1</w:t>
            </w:r>
          </w:p>
        </w:tc>
        <w:tc>
          <w:tcPr>
            <w:tcW w:w="93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0,2</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val="restart"/>
            <w:tcBorders>
              <w:top w:val="nil"/>
              <w:left w:val="single" w:sz="4" w:space="0" w:color="auto"/>
              <w:bottom w:val="single" w:sz="8" w:space="0" w:color="000000"/>
              <w:right w:val="single" w:sz="4" w:space="0" w:color="auto"/>
            </w:tcBorders>
            <w:shd w:val="clear" w:color="000000" w:fill="EEECE1"/>
            <w:textDirection w:val="btLr"/>
            <w:vAlign w:val="center"/>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16QAM</w:t>
            </w:r>
            <w:r w:rsidRPr="004A3CA9">
              <w:rPr>
                <w:rFonts w:eastAsia="Times New Roman"/>
                <w:color w:val="000000"/>
                <w:sz w:val="18"/>
                <w:szCs w:val="18"/>
                <w:lang w:val="fr-FR" w:eastAsia="fr-FR"/>
              </w:rPr>
              <w:br/>
              <w:t>3/4</w:t>
            </w: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3RB</w:t>
            </w:r>
          </w:p>
        </w:tc>
        <w:tc>
          <w:tcPr>
            <w:tcW w:w="925"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4,1</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2,7</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1,8</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4,4</w:t>
            </w:r>
          </w:p>
        </w:tc>
      </w:tr>
      <w:tr w:rsidR="004A3CA9" w:rsidRPr="004A3CA9" w:rsidTr="00540B48">
        <w:trPr>
          <w:trHeight w:val="301"/>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4"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5RB</w:t>
            </w:r>
          </w:p>
        </w:tc>
        <w:tc>
          <w:tcPr>
            <w:tcW w:w="925"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4,3</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3,4</w:t>
            </w:r>
          </w:p>
        </w:tc>
        <w:tc>
          <w:tcPr>
            <w:tcW w:w="925"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2,4</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2,2</w:t>
            </w:r>
          </w:p>
        </w:tc>
        <w:tc>
          <w:tcPr>
            <w:tcW w:w="93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7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4,6</w:t>
            </w:r>
          </w:p>
        </w:tc>
      </w:tr>
      <w:tr w:rsidR="004A3CA9" w:rsidRPr="004A3CA9" w:rsidTr="00540B48">
        <w:trPr>
          <w:trHeight w:val="316"/>
        </w:trPr>
        <w:tc>
          <w:tcPr>
            <w:tcW w:w="475" w:type="dxa"/>
            <w:vMerge/>
            <w:tcBorders>
              <w:top w:val="nil"/>
              <w:left w:val="single" w:sz="8"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475"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vMerge/>
            <w:tcBorders>
              <w:top w:val="nil"/>
              <w:left w:val="single" w:sz="4" w:space="0" w:color="auto"/>
              <w:bottom w:val="single" w:sz="8" w:space="0" w:color="000000"/>
              <w:right w:val="single" w:sz="4" w:space="0" w:color="auto"/>
            </w:tcBorders>
            <w:vAlign w:val="center"/>
            <w:hideMark/>
          </w:tcPr>
          <w:p w:rsidR="004A3CA9" w:rsidRPr="004A3CA9" w:rsidRDefault="004A3CA9" w:rsidP="004A3CA9">
            <w:pPr>
              <w:spacing w:after="0"/>
              <w:jc w:val="left"/>
              <w:rPr>
                <w:rFonts w:eastAsia="Times New Roman"/>
                <w:color w:val="000000"/>
                <w:sz w:val="18"/>
                <w:szCs w:val="18"/>
                <w:lang w:val="fr-FR" w:eastAsia="fr-FR"/>
              </w:rPr>
            </w:pPr>
          </w:p>
        </w:tc>
        <w:tc>
          <w:tcPr>
            <w:tcW w:w="712" w:type="dxa"/>
            <w:tcBorders>
              <w:top w:val="nil"/>
              <w:left w:val="nil"/>
              <w:bottom w:val="single" w:sz="8" w:space="0" w:color="auto"/>
              <w:right w:val="single" w:sz="4" w:space="0" w:color="auto"/>
            </w:tcBorders>
            <w:shd w:val="clear" w:color="000000" w:fill="EEECE1"/>
            <w:noWrap/>
            <w:vAlign w:val="bottom"/>
            <w:hideMark/>
          </w:tcPr>
          <w:p w:rsidR="004A3CA9" w:rsidRPr="004A3CA9" w:rsidRDefault="004A3CA9" w:rsidP="004A3CA9">
            <w:pPr>
              <w:spacing w:after="0"/>
              <w:jc w:val="left"/>
              <w:rPr>
                <w:rFonts w:eastAsia="Times New Roman"/>
                <w:color w:val="000000"/>
                <w:sz w:val="18"/>
                <w:szCs w:val="18"/>
                <w:lang w:val="fr-FR" w:eastAsia="fr-FR"/>
              </w:rPr>
            </w:pPr>
            <w:r w:rsidRPr="004A3CA9">
              <w:rPr>
                <w:rFonts w:eastAsia="Times New Roman"/>
                <w:color w:val="000000"/>
                <w:sz w:val="18"/>
                <w:szCs w:val="18"/>
                <w:lang w:val="fr-FR" w:eastAsia="fr-FR"/>
              </w:rPr>
              <w:t>15RB</w:t>
            </w:r>
          </w:p>
        </w:tc>
        <w:tc>
          <w:tcPr>
            <w:tcW w:w="925" w:type="dxa"/>
            <w:tcBorders>
              <w:top w:val="single" w:sz="4" w:space="0" w:color="auto"/>
              <w:left w:val="single" w:sz="4" w:space="0" w:color="auto"/>
              <w:bottom w:val="single" w:sz="8" w:space="0" w:color="auto"/>
              <w:right w:val="single" w:sz="4" w:space="0" w:color="auto"/>
            </w:tcBorders>
            <w:shd w:val="clear" w:color="000000" w:fill="FF0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-0,5</w:t>
            </w:r>
          </w:p>
        </w:tc>
        <w:tc>
          <w:tcPr>
            <w:tcW w:w="925"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2,3</w:t>
            </w:r>
          </w:p>
        </w:tc>
        <w:tc>
          <w:tcPr>
            <w:tcW w:w="925"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2,1</w:t>
            </w:r>
          </w:p>
        </w:tc>
        <w:tc>
          <w:tcPr>
            <w:tcW w:w="925"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1,6</w:t>
            </w:r>
          </w:p>
        </w:tc>
        <w:tc>
          <w:tcPr>
            <w:tcW w:w="93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3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1,2</w:t>
            </w:r>
          </w:p>
        </w:tc>
        <w:tc>
          <w:tcPr>
            <w:tcW w:w="93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1,4</w:t>
            </w:r>
          </w:p>
        </w:tc>
        <w:tc>
          <w:tcPr>
            <w:tcW w:w="973" w:type="dxa"/>
            <w:tcBorders>
              <w:top w:val="single" w:sz="4" w:space="0" w:color="auto"/>
              <w:left w:val="single" w:sz="4" w:space="0" w:color="auto"/>
              <w:bottom w:val="single" w:sz="8" w:space="0" w:color="auto"/>
              <w:right w:val="single" w:sz="8" w:space="0" w:color="auto"/>
            </w:tcBorders>
            <w:shd w:val="clear" w:color="000000" w:fill="008000"/>
            <w:noWrap/>
            <w:vAlign w:val="bottom"/>
            <w:hideMark/>
          </w:tcPr>
          <w:p w:rsidR="004A3CA9" w:rsidRPr="004A3CA9" w:rsidRDefault="004A3CA9" w:rsidP="004A3CA9">
            <w:pPr>
              <w:spacing w:after="0"/>
              <w:jc w:val="center"/>
              <w:rPr>
                <w:rFonts w:eastAsia="Times New Roman"/>
                <w:color w:val="000000"/>
                <w:sz w:val="18"/>
                <w:szCs w:val="18"/>
                <w:lang w:val="fr-FR" w:eastAsia="fr-FR"/>
              </w:rPr>
            </w:pPr>
            <w:r w:rsidRPr="004A3CA9">
              <w:rPr>
                <w:rFonts w:eastAsia="Times New Roman"/>
                <w:color w:val="000000"/>
                <w:sz w:val="18"/>
                <w:szCs w:val="18"/>
                <w:lang w:val="fr-FR" w:eastAsia="fr-FR"/>
              </w:rPr>
              <w:t>4,6</w:t>
            </w:r>
          </w:p>
        </w:tc>
      </w:tr>
    </w:tbl>
    <w:p w:rsidR="00650F10" w:rsidRDefault="00650F10">
      <w:pPr>
        <w:spacing w:after="0"/>
        <w:jc w:val="left"/>
      </w:pPr>
      <w:r>
        <w:br w:type="page"/>
      </w:r>
    </w:p>
    <w:tbl>
      <w:tblPr>
        <w:tblW w:w="9950" w:type="dxa"/>
        <w:tblInd w:w="57" w:type="dxa"/>
        <w:tblCellMar>
          <w:left w:w="70" w:type="dxa"/>
          <w:right w:w="70" w:type="dxa"/>
        </w:tblCellMar>
        <w:tblLook w:val="04A0" w:firstRow="1" w:lastRow="0" w:firstColumn="1" w:lastColumn="0" w:noHBand="0" w:noVBand="1"/>
      </w:tblPr>
      <w:tblGrid>
        <w:gridCol w:w="465"/>
        <w:gridCol w:w="465"/>
        <w:gridCol w:w="698"/>
        <w:gridCol w:w="698"/>
        <w:gridCol w:w="953"/>
        <w:gridCol w:w="953"/>
        <w:gridCol w:w="953"/>
        <w:gridCol w:w="953"/>
        <w:gridCol w:w="953"/>
        <w:gridCol w:w="953"/>
        <w:gridCol w:w="953"/>
        <w:gridCol w:w="953"/>
      </w:tblGrid>
      <w:tr w:rsidR="00540B48" w:rsidRPr="00540B48" w:rsidTr="00540B48">
        <w:trPr>
          <w:trHeight w:val="303"/>
        </w:trPr>
        <w:tc>
          <w:tcPr>
            <w:tcW w:w="465" w:type="dxa"/>
            <w:vMerge w:val="restart"/>
            <w:tcBorders>
              <w:top w:val="single" w:sz="8" w:space="0" w:color="auto"/>
              <w:left w:val="single" w:sz="8" w:space="0" w:color="auto"/>
              <w:bottom w:val="single" w:sz="8" w:space="0" w:color="000000"/>
              <w:right w:val="single" w:sz="4" w:space="0" w:color="auto"/>
            </w:tcBorders>
            <w:shd w:val="clear" w:color="000000" w:fill="EEECE1"/>
            <w:noWrap/>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lastRenderedPageBreak/>
              <w:t>1000ns</w:t>
            </w:r>
          </w:p>
        </w:tc>
        <w:tc>
          <w:tcPr>
            <w:tcW w:w="465" w:type="dxa"/>
            <w:vMerge w:val="restart"/>
            <w:tcBorders>
              <w:top w:val="single" w:sz="8" w:space="0" w:color="auto"/>
              <w:left w:val="single" w:sz="4" w:space="0" w:color="auto"/>
              <w:bottom w:val="single" w:sz="4" w:space="0" w:color="auto"/>
              <w:right w:val="single" w:sz="4" w:space="0" w:color="auto"/>
            </w:tcBorders>
            <w:shd w:val="clear" w:color="000000" w:fill="EEECE1"/>
            <w:noWrap/>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15kmph</w:t>
            </w:r>
          </w:p>
        </w:tc>
        <w:tc>
          <w:tcPr>
            <w:tcW w:w="698" w:type="dxa"/>
            <w:vMerge w:val="restart"/>
            <w:tcBorders>
              <w:top w:val="single" w:sz="8" w:space="0" w:color="auto"/>
              <w:left w:val="single" w:sz="4" w:space="0" w:color="auto"/>
              <w:bottom w:val="single" w:sz="4" w:space="0" w:color="auto"/>
              <w:right w:val="single" w:sz="4" w:space="0" w:color="auto"/>
            </w:tcBorders>
            <w:shd w:val="clear" w:color="000000" w:fill="EEECE1"/>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16QAM</w:t>
            </w:r>
            <w:r w:rsidRPr="00540B48">
              <w:rPr>
                <w:rFonts w:eastAsia="Times New Roman"/>
                <w:color w:val="000000"/>
                <w:sz w:val="18"/>
                <w:szCs w:val="18"/>
                <w:lang w:val="fr-FR" w:eastAsia="fr-FR"/>
              </w:rPr>
              <w:br/>
              <w:t>1/2</w:t>
            </w:r>
          </w:p>
        </w:tc>
        <w:tc>
          <w:tcPr>
            <w:tcW w:w="698" w:type="dxa"/>
            <w:tcBorders>
              <w:top w:val="single" w:sz="8" w:space="0" w:color="auto"/>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5RB</w:t>
            </w:r>
          </w:p>
        </w:tc>
        <w:tc>
          <w:tcPr>
            <w:tcW w:w="953"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1,8</w:t>
            </w:r>
          </w:p>
        </w:tc>
        <w:tc>
          <w:tcPr>
            <w:tcW w:w="953"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w:t>
            </w:r>
          </w:p>
        </w:tc>
        <w:tc>
          <w:tcPr>
            <w:tcW w:w="953"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0,8</w:t>
            </w:r>
          </w:p>
        </w:tc>
        <w:tc>
          <w:tcPr>
            <w:tcW w:w="953"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0,6</w:t>
            </w:r>
          </w:p>
        </w:tc>
        <w:tc>
          <w:tcPr>
            <w:tcW w:w="953"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0,7</w:t>
            </w:r>
          </w:p>
        </w:tc>
        <w:tc>
          <w:tcPr>
            <w:tcW w:w="953"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single" w:sz="8" w:space="0" w:color="auto"/>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single" w:sz="8" w:space="0" w:color="auto"/>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8RB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1,3</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0,7</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1,9</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single" w:sz="8" w:space="0" w:color="auto"/>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single" w:sz="8" w:space="0" w:color="auto"/>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22RB</w:t>
            </w:r>
          </w:p>
        </w:tc>
        <w:tc>
          <w:tcPr>
            <w:tcW w:w="953" w:type="dxa"/>
            <w:tcBorders>
              <w:top w:val="nil"/>
              <w:left w:val="nil"/>
              <w:bottom w:val="single" w:sz="4" w:space="0" w:color="auto"/>
              <w:right w:val="single" w:sz="4" w:space="0" w:color="auto"/>
            </w:tcBorders>
            <w:shd w:val="clear" w:color="auto" w:fill="auto"/>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0,2</w:t>
            </w:r>
          </w:p>
        </w:tc>
        <w:tc>
          <w:tcPr>
            <w:tcW w:w="953" w:type="dxa"/>
            <w:tcBorders>
              <w:top w:val="nil"/>
              <w:left w:val="nil"/>
              <w:bottom w:val="single" w:sz="4" w:space="0" w:color="auto"/>
              <w:right w:val="single" w:sz="4" w:space="0" w:color="auto"/>
            </w:tcBorders>
            <w:shd w:val="clear" w:color="auto" w:fill="auto"/>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w:t>
            </w:r>
          </w:p>
        </w:tc>
        <w:tc>
          <w:tcPr>
            <w:tcW w:w="953" w:type="dxa"/>
            <w:tcBorders>
              <w:top w:val="nil"/>
              <w:left w:val="nil"/>
              <w:bottom w:val="single" w:sz="4" w:space="0" w:color="auto"/>
              <w:right w:val="single" w:sz="4" w:space="0" w:color="auto"/>
            </w:tcBorders>
            <w:shd w:val="clear" w:color="auto" w:fill="auto"/>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w:t>
            </w:r>
          </w:p>
        </w:tc>
        <w:tc>
          <w:tcPr>
            <w:tcW w:w="953" w:type="dxa"/>
            <w:tcBorders>
              <w:top w:val="nil"/>
              <w:left w:val="nil"/>
              <w:bottom w:val="single" w:sz="4" w:space="0" w:color="auto"/>
              <w:right w:val="single" w:sz="4" w:space="0" w:color="auto"/>
            </w:tcBorders>
            <w:shd w:val="clear" w:color="auto" w:fill="auto"/>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single" w:sz="8" w:space="0" w:color="auto"/>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16QAM</w:t>
            </w:r>
            <w:r w:rsidRPr="00540B48">
              <w:rPr>
                <w:rFonts w:eastAsia="Times New Roman"/>
                <w:color w:val="000000"/>
                <w:sz w:val="18"/>
                <w:szCs w:val="18"/>
                <w:lang w:val="fr-FR" w:eastAsia="fr-FR"/>
              </w:rPr>
              <w:br/>
              <w:t>3/4</w:t>
            </w: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3RB</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0,5</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1,9</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2,1</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single" w:sz="8" w:space="0" w:color="auto"/>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5RB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1,9</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1,7</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0,9</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2,1</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single" w:sz="8" w:space="0" w:color="auto"/>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15RB</w:t>
            </w:r>
          </w:p>
        </w:tc>
        <w:tc>
          <w:tcPr>
            <w:tcW w:w="953"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0,8</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0,2</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60kmph</w:t>
            </w:r>
          </w:p>
        </w:tc>
        <w:tc>
          <w:tcPr>
            <w:tcW w:w="698"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16QAM</w:t>
            </w:r>
            <w:r w:rsidRPr="00540B48">
              <w:rPr>
                <w:rFonts w:eastAsia="Times New Roman"/>
                <w:color w:val="000000"/>
                <w:sz w:val="18"/>
                <w:szCs w:val="18"/>
                <w:lang w:val="fr-FR" w:eastAsia="fr-FR"/>
              </w:rPr>
              <w:br/>
              <w:t>1/2</w:t>
            </w: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5RB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1,7</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1,5</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0,9</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0,6</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0,5</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0,6</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1,9</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8RB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1,5</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1,7</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22RB</w:t>
            </w:r>
          </w:p>
        </w:tc>
        <w:tc>
          <w:tcPr>
            <w:tcW w:w="953"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nil"/>
              <w:left w:val="nil"/>
              <w:bottom w:val="single" w:sz="4" w:space="0" w:color="auto"/>
              <w:right w:val="single" w:sz="4" w:space="0" w:color="auto"/>
            </w:tcBorders>
            <w:shd w:val="clear" w:color="auto" w:fill="auto"/>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8"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0,9</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16QAM</w:t>
            </w:r>
            <w:r w:rsidRPr="00540B48">
              <w:rPr>
                <w:rFonts w:eastAsia="Times New Roman"/>
                <w:color w:val="000000"/>
                <w:sz w:val="18"/>
                <w:szCs w:val="18"/>
                <w:lang w:val="fr-FR" w:eastAsia="fr-FR"/>
              </w:rPr>
              <w:br/>
              <w:t>3/4</w:t>
            </w: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3RB</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0,5</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1,7</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1,3</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2,4</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5RB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1,8</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2,2</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15RB</w:t>
            </w:r>
          </w:p>
        </w:tc>
        <w:tc>
          <w:tcPr>
            <w:tcW w:w="953" w:type="dxa"/>
            <w:tcBorders>
              <w:top w:val="nil"/>
              <w:left w:val="nil"/>
              <w:bottom w:val="single" w:sz="4" w:space="0" w:color="auto"/>
              <w:right w:val="single" w:sz="4" w:space="0" w:color="auto"/>
            </w:tcBorders>
            <w:shd w:val="clear" w:color="auto" w:fill="auto"/>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1,8</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120kmph</w:t>
            </w:r>
          </w:p>
        </w:tc>
        <w:tc>
          <w:tcPr>
            <w:tcW w:w="698" w:type="dxa"/>
            <w:vMerge w:val="restart"/>
            <w:tcBorders>
              <w:top w:val="nil"/>
              <w:left w:val="single" w:sz="4" w:space="0" w:color="auto"/>
              <w:bottom w:val="single" w:sz="4" w:space="0" w:color="auto"/>
              <w:right w:val="single" w:sz="4" w:space="0" w:color="auto"/>
            </w:tcBorders>
            <w:shd w:val="clear" w:color="000000" w:fill="EEECE1"/>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16QAM</w:t>
            </w:r>
            <w:r w:rsidRPr="00540B48">
              <w:rPr>
                <w:rFonts w:eastAsia="Times New Roman"/>
                <w:color w:val="000000"/>
                <w:sz w:val="18"/>
                <w:szCs w:val="18"/>
                <w:lang w:val="fr-FR" w:eastAsia="fr-FR"/>
              </w:rPr>
              <w:br/>
              <w:t>1/2</w:t>
            </w: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5RB</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0,5</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1,7</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1,4</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0,9</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0,7</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0,6</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0,7</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1,8</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8RB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1,5</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1,2</w:t>
            </w:r>
          </w:p>
        </w:tc>
        <w:tc>
          <w:tcPr>
            <w:tcW w:w="953"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0,6</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1,9</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4" w:space="0" w:color="auto"/>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22RB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0,3</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0,2</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0,1</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1,3</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val="restart"/>
            <w:tcBorders>
              <w:top w:val="nil"/>
              <w:left w:val="single" w:sz="4" w:space="0" w:color="auto"/>
              <w:bottom w:val="single" w:sz="8" w:space="0" w:color="000000"/>
              <w:right w:val="single" w:sz="4" w:space="0" w:color="auto"/>
            </w:tcBorders>
            <w:shd w:val="clear" w:color="000000" w:fill="EEECE1"/>
            <w:textDirection w:val="btLr"/>
            <w:vAlign w:val="center"/>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16QAM</w:t>
            </w:r>
            <w:r w:rsidRPr="00540B48">
              <w:rPr>
                <w:rFonts w:eastAsia="Times New Roman"/>
                <w:color w:val="000000"/>
                <w:sz w:val="18"/>
                <w:szCs w:val="18"/>
                <w:lang w:val="fr-FR" w:eastAsia="fr-FR"/>
              </w:rPr>
              <w:br/>
              <w:t>3/4</w:t>
            </w: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3RB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4,1</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2,7</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1,7</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2,4</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2,5</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4,5</w:t>
            </w:r>
          </w:p>
        </w:tc>
      </w:tr>
      <w:tr w:rsidR="00540B48" w:rsidRPr="00540B48" w:rsidTr="00540B48">
        <w:trPr>
          <w:trHeight w:val="303"/>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4"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5RB</w:t>
            </w:r>
          </w:p>
        </w:tc>
        <w:tc>
          <w:tcPr>
            <w:tcW w:w="953"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4,5</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3,3</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2,3</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w:t>
            </w:r>
          </w:p>
        </w:tc>
        <w:tc>
          <w:tcPr>
            <w:tcW w:w="953"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2,2</w:t>
            </w:r>
          </w:p>
        </w:tc>
        <w:tc>
          <w:tcPr>
            <w:tcW w:w="953"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4,8</w:t>
            </w:r>
          </w:p>
        </w:tc>
      </w:tr>
      <w:tr w:rsidR="00540B48" w:rsidRPr="00540B48" w:rsidTr="00540B48">
        <w:trPr>
          <w:trHeight w:val="318"/>
        </w:trPr>
        <w:tc>
          <w:tcPr>
            <w:tcW w:w="465" w:type="dxa"/>
            <w:vMerge/>
            <w:tcBorders>
              <w:top w:val="single" w:sz="8" w:space="0" w:color="auto"/>
              <w:left w:val="single" w:sz="8"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465" w:type="dxa"/>
            <w:vMerge/>
            <w:tcBorders>
              <w:top w:val="nil"/>
              <w:left w:val="single" w:sz="4"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vMerge/>
            <w:tcBorders>
              <w:top w:val="nil"/>
              <w:left w:val="single" w:sz="4" w:space="0" w:color="auto"/>
              <w:bottom w:val="single" w:sz="8" w:space="0" w:color="000000"/>
              <w:right w:val="single" w:sz="4" w:space="0" w:color="auto"/>
            </w:tcBorders>
            <w:vAlign w:val="center"/>
            <w:hideMark/>
          </w:tcPr>
          <w:p w:rsidR="00540B48" w:rsidRPr="00540B48" w:rsidRDefault="00540B48" w:rsidP="00540B48">
            <w:pPr>
              <w:spacing w:after="0"/>
              <w:jc w:val="left"/>
              <w:rPr>
                <w:rFonts w:eastAsia="Times New Roman"/>
                <w:color w:val="000000"/>
                <w:sz w:val="18"/>
                <w:szCs w:val="18"/>
                <w:lang w:val="fr-FR" w:eastAsia="fr-FR"/>
              </w:rPr>
            </w:pPr>
          </w:p>
        </w:tc>
        <w:tc>
          <w:tcPr>
            <w:tcW w:w="698" w:type="dxa"/>
            <w:tcBorders>
              <w:top w:val="nil"/>
              <w:left w:val="nil"/>
              <w:bottom w:val="single" w:sz="8" w:space="0" w:color="auto"/>
              <w:right w:val="single" w:sz="4" w:space="0" w:color="auto"/>
            </w:tcBorders>
            <w:shd w:val="clear" w:color="000000" w:fill="EEECE1"/>
            <w:noWrap/>
            <w:vAlign w:val="bottom"/>
            <w:hideMark/>
          </w:tcPr>
          <w:p w:rsidR="00540B48" w:rsidRPr="00540B48" w:rsidRDefault="00540B48" w:rsidP="00540B48">
            <w:pPr>
              <w:spacing w:after="0"/>
              <w:jc w:val="left"/>
              <w:rPr>
                <w:rFonts w:eastAsia="Times New Roman"/>
                <w:color w:val="000000"/>
                <w:sz w:val="18"/>
                <w:szCs w:val="18"/>
                <w:lang w:val="fr-FR" w:eastAsia="fr-FR"/>
              </w:rPr>
            </w:pPr>
            <w:r w:rsidRPr="00540B48">
              <w:rPr>
                <w:rFonts w:eastAsia="Times New Roman"/>
                <w:color w:val="000000"/>
                <w:sz w:val="18"/>
                <w:szCs w:val="18"/>
                <w:lang w:val="fr-FR" w:eastAsia="fr-FR"/>
              </w:rPr>
              <w:t>15RB</w:t>
            </w:r>
          </w:p>
        </w:tc>
        <w:tc>
          <w:tcPr>
            <w:tcW w:w="953" w:type="dxa"/>
            <w:tcBorders>
              <w:top w:val="single" w:sz="4" w:space="0" w:color="auto"/>
              <w:left w:val="single" w:sz="4" w:space="0" w:color="auto"/>
              <w:bottom w:val="single" w:sz="8" w:space="0" w:color="auto"/>
              <w:right w:val="single" w:sz="4" w:space="0" w:color="auto"/>
            </w:tcBorders>
            <w:shd w:val="clear" w:color="000000" w:fill="FF0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-0,6</w:t>
            </w:r>
          </w:p>
        </w:tc>
        <w:tc>
          <w:tcPr>
            <w:tcW w:w="953"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2,5</w:t>
            </w:r>
          </w:p>
        </w:tc>
        <w:tc>
          <w:tcPr>
            <w:tcW w:w="953"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2,1</w:t>
            </w:r>
          </w:p>
        </w:tc>
        <w:tc>
          <w:tcPr>
            <w:tcW w:w="953"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1,5</w:t>
            </w:r>
          </w:p>
        </w:tc>
        <w:tc>
          <w:tcPr>
            <w:tcW w:w="953"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1,1</w:t>
            </w:r>
          </w:p>
        </w:tc>
        <w:tc>
          <w:tcPr>
            <w:tcW w:w="953"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w:t>
            </w:r>
          </w:p>
        </w:tc>
        <w:tc>
          <w:tcPr>
            <w:tcW w:w="953"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1,3</w:t>
            </w:r>
          </w:p>
        </w:tc>
        <w:tc>
          <w:tcPr>
            <w:tcW w:w="953" w:type="dxa"/>
            <w:tcBorders>
              <w:top w:val="nil"/>
              <w:left w:val="nil"/>
              <w:bottom w:val="single" w:sz="8" w:space="0" w:color="auto"/>
              <w:right w:val="single" w:sz="8" w:space="0" w:color="auto"/>
            </w:tcBorders>
            <w:shd w:val="clear" w:color="auto" w:fill="auto"/>
            <w:noWrap/>
            <w:vAlign w:val="bottom"/>
            <w:hideMark/>
          </w:tcPr>
          <w:p w:rsidR="00540B48" w:rsidRPr="00540B48" w:rsidRDefault="00540B48" w:rsidP="00540B48">
            <w:pPr>
              <w:spacing w:after="0"/>
              <w:jc w:val="center"/>
              <w:rPr>
                <w:rFonts w:eastAsia="Times New Roman"/>
                <w:color w:val="000000"/>
                <w:sz w:val="18"/>
                <w:szCs w:val="18"/>
                <w:lang w:val="fr-FR" w:eastAsia="fr-FR"/>
              </w:rPr>
            </w:pPr>
            <w:r w:rsidRPr="00540B48">
              <w:rPr>
                <w:rFonts w:eastAsia="Times New Roman"/>
                <w:color w:val="000000"/>
                <w:sz w:val="18"/>
                <w:szCs w:val="18"/>
                <w:lang w:val="fr-FR" w:eastAsia="fr-FR"/>
              </w:rPr>
              <w:t>*</w:t>
            </w:r>
          </w:p>
        </w:tc>
      </w:tr>
    </w:tbl>
    <w:p w:rsidR="00540B48" w:rsidRDefault="00540B48" w:rsidP="00B21981">
      <w:pPr>
        <w:shd w:val="clear" w:color="auto" w:fill="FFFFFF" w:themeFill="background1"/>
      </w:pPr>
    </w:p>
    <w:p w:rsidR="00540B48" w:rsidRDefault="00540B48">
      <w:pPr>
        <w:spacing w:after="0"/>
        <w:jc w:val="left"/>
      </w:pPr>
      <w:r>
        <w:br w:type="page"/>
      </w:r>
    </w:p>
    <w:p w:rsidR="0071278D" w:rsidRDefault="0071278D" w:rsidP="00B21981">
      <w:pPr>
        <w:shd w:val="clear" w:color="auto" w:fill="FFFFFF" w:themeFill="background1"/>
      </w:pPr>
    </w:p>
    <w:p w:rsidR="004B4FE6" w:rsidRDefault="004B4FE6" w:rsidP="004B4FE6">
      <w:pPr>
        <w:pStyle w:val="Lgende"/>
        <w:keepNext/>
      </w:pPr>
      <w:r w:rsidRPr="009D3989">
        <w:t xml:space="preserve">Table </w:t>
      </w:r>
      <w:r w:rsidR="00C07E46">
        <w:fldChar w:fldCharType="begin"/>
      </w:r>
      <w:r w:rsidR="009369A3">
        <w:instrText xml:space="preserve"> SEQ Table \* ARABIC </w:instrText>
      </w:r>
      <w:r w:rsidR="00C07E46">
        <w:fldChar w:fldCharType="separate"/>
      </w:r>
      <w:r w:rsidR="008D4EAE">
        <w:rPr>
          <w:noProof/>
        </w:rPr>
        <w:t>3</w:t>
      </w:r>
      <w:r w:rsidR="00C07E46">
        <w:rPr>
          <w:noProof/>
        </w:rPr>
        <w:fldChar w:fldCharType="end"/>
      </w:r>
      <w:r w:rsidRPr="009D3989">
        <w:t xml:space="preserve"> SNR gain at FER=10</w:t>
      </w:r>
      <w:r w:rsidRPr="009D3989">
        <w:rPr>
          <w:vertAlign w:val="superscript"/>
        </w:rPr>
        <w:t>-1</w:t>
      </w:r>
      <w:r w:rsidRPr="009D3989">
        <w:t xml:space="preserve"> of SC-SFBC over other diversity schemes for </w:t>
      </w:r>
      <w:r>
        <w:t>64QAM1/2</w:t>
      </w:r>
      <w:r w:rsidRPr="009D3989">
        <w:t xml:space="preserve"> modulation</w:t>
      </w:r>
    </w:p>
    <w:tbl>
      <w:tblPr>
        <w:tblW w:w="9989" w:type="dxa"/>
        <w:tblInd w:w="57" w:type="dxa"/>
        <w:tblCellMar>
          <w:left w:w="70" w:type="dxa"/>
          <w:right w:w="70" w:type="dxa"/>
        </w:tblCellMar>
        <w:tblLook w:val="04A0" w:firstRow="1" w:lastRow="0" w:firstColumn="1" w:lastColumn="0" w:noHBand="0" w:noVBand="1"/>
      </w:tblPr>
      <w:tblGrid>
        <w:gridCol w:w="502"/>
        <w:gridCol w:w="502"/>
        <w:gridCol w:w="753"/>
        <w:gridCol w:w="1029"/>
        <w:gridCol w:w="1029"/>
        <w:gridCol w:w="1029"/>
        <w:gridCol w:w="1029"/>
        <w:gridCol w:w="1029"/>
        <w:gridCol w:w="1029"/>
        <w:gridCol w:w="1029"/>
        <w:gridCol w:w="1029"/>
      </w:tblGrid>
      <w:tr w:rsidR="002F1F61" w:rsidRPr="002F1F61" w:rsidTr="002F1F61">
        <w:trPr>
          <w:trHeight w:val="490"/>
        </w:trPr>
        <w:tc>
          <w:tcPr>
            <w:tcW w:w="502" w:type="dxa"/>
            <w:tcBorders>
              <w:top w:val="single" w:sz="8" w:space="0" w:color="auto"/>
              <w:left w:val="single" w:sz="8" w:space="0" w:color="auto"/>
              <w:bottom w:val="single" w:sz="8" w:space="0" w:color="auto"/>
              <w:right w:val="single" w:sz="4" w:space="0" w:color="auto"/>
            </w:tcBorders>
            <w:shd w:val="clear" w:color="000000" w:fill="EEECE1"/>
            <w:noWrap/>
            <w:vAlign w:val="bottom"/>
            <w:hideMark/>
          </w:tcPr>
          <w:p w:rsidR="002F1F61" w:rsidRPr="0006093F" w:rsidRDefault="002F1F61" w:rsidP="002F1F61">
            <w:pPr>
              <w:spacing w:after="0"/>
              <w:jc w:val="left"/>
              <w:rPr>
                <w:rFonts w:eastAsia="Times New Roman"/>
                <w:color w:val="000000"/>
                <w:sz w:val="18"/>
                <w:szCs w:val="18"/>
                <w:lang w:eastAsia="fr-FR"/>
              </w:rPr>
            </w:pPr>
            <w:r w:rsidRPr="0006093F">
              <w:rPr>
                <w:rFonts w:eastAsia="Times New Roman"/>
                <w:color w:val="000000"/>
                <w:sz w:val="18"/>
                <w:szCs w:val="18"/>
                <w:lang w:eastAsia="fr-FR"/>
              </w:rPr>
              <w:t> </w:t>
            </w:r>
          </w:p>
        </w:tc>
        <w:tc>
          <w:tcPr>
            <w:tcW w:w="502" w:type="dxa"/>
            <w:tcBorders>
              <w:top w:val="single" w:sz="8" w:space="0" w:color="auto"/>
              <w:left w:val="nil"/>
              <w:bottom w:val="single" w:sz="8" w:space="0" w:color="auto"/>
              <w:right w:val="single" w:sz="4" w:space="0" w:color="auto"/>
            </w:tcBorders>
            <w:shd w:val="clear" w:color="000000" w:fill="EEECE1"/>
            <w:noWrap/>
            <w:vAlign w:val="bottom"/>
            <w:hideMark/>
          </w:tcPr>
          <w:p w:rsidR="002F1F61" w:rsidRPr="0006093F" w:rsidRDefault="002F1F61" w:rsidP="002F1F61">
            <w:pPr>
              <w:spacing w:after="0"/>
              <w:jc w:val="left"/>
              <w:rPr>
                <w:rFonts w:eastAsia="Times New Roman"/>
                <w:color w:val="000000"/>
                <w:sz w:val="18"/>
                <w:szCs w:val="18"/>
                <w:lang w:eastAsia="fr-FR"/>
              </w:rPr>
            </w:pPr>
            <w:r w:rsidRPr="0006093F">
              <w:rPr>
                <w:rFonts w:eastAsia="Times New Roman"/>
                <w:color w:val="000000"/>
                <w:sz w:val="18"/>
                <w:szCs w:val="18"/>
                <w:lang w:eastAsia="fr-FR"/>
              </w:rPr>
              <w:t> </w:t>
            </w:r>
          </w:p>
        </w:tc>
        <w:tc>
          <w:tcPr>
            <w:tcW w:w="753" w:type="dxa"/>
            <w:tcBorders>
              <w:top w:val="single" w:sz="8" w:space="0" w:color="auto"/>
              <w:left w:val="nil"/>
              <w:bottom w:val="single" w:sz="8" w:space="0" w:color="auto"/>
              <w:right w:val="single" w:sz="4" w:space="0" w:color="auto"/>
            </w:tcBorders>
            <w:shd w:val="clear" w:color="000000" w:fill="EEECE1"/>
            <w:noWrap/>
            <w:vAlign w:val="bottom"/>
            <w:hideMark/>
          </w:tcPr>
          <w:p w:rsidR="002F1F61" w:rsidRPr="0006093F" w:rsidRDefault="002F1F61" w:rsidP="002F1F61">
            <w:pPr>
              <w:spacing w:after="0"/>
              <w:jc w:val="left"/>
              <w:rPr>
                <w:rFonts w:eastAsia="Times New Roman"/>
                <w:color w:val="000000"/>
                <w:sz w:val="18"/>
                <w:szCs w:val="18"/>
                <w:lang w:eastAsia="fr-FR"/>
              </w:rPr>
            </w:pPr>
            <w:r w:rsidRPr="0006093F">
              <w:rPr>
                <w:rFonts w:eastAsia="Times New Roman"/>
                <w:color w:val="000000"/>
                <w:sz w:val="18"/>
                <w:szCs w:val="18"/>
                <w:lang w:eastAsia="fr-FR"/>
              </w:rPr>
              <w:t> </w:t>
            </w:r>
          </w:p>
        </w:tc>
        <w:tc>
          <w:tcPr>
            <w:tcW w:w="1029" w:type="dxa"/>
            <w:tcBorders>
              <w:top w:val="single" w:sz="8" w:space="0" w:color="auto"/>
              <w:left w:val="nil"/>
              <w:bottom w:val="single" w:sz="8" w:space="0" w:color="auto"/>
              <w:right w:val="single" w:sz="4" w:space="0" w:color="auto"/>
            </w:tcBorders>
            <w:shd w:val="clear" w:color="000000" w:fill="EEECE1"/>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SFBC (0.5dB</w:t>
            </w:r>
            <w:r w:rsidRPr="002F1F61">
              <w:rPr>
                <w:rFonts w:eastAsia="Times New Roman"/>
                <w:b/>
                <w:bCs/>
                <w:color w:val="000000"/>
                <w:sz w:val="18"/>
                <w:szCs w:val="18"/>
                <w:lang w:val="fr-FR" w:eastAsia="fr-FR"/>
              </w:rPr>
              <w:br/>
              <w:t>MPR)</w:t>
            </w:r>
          </w:p>
        </w:tc>
        <w:tc>
          <w:tcPr>
            <w:tcW w:w="1029" w:type="dxa"/>
            <w:tcBorders>
              <w:top w:val="single" w:sz="8" w:space="0" w:color="auto"/>
              <w:left w:val="nil"/>
              <w:bottom w:val="single" w:sz="8" w:space="0" w:color="auto"/>
              <w:right w:val="single" w:sz="4" w:space="0" w:color="auto"/>
            </w:tcBorders>
            <w:shd w:val="clear" w:color="000000" w:fill="EEECE1"/>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SD-CDD</w:t>
            </w:r>
            <w:r w:rsidRPr="002F1F61">
              <w:rPr>
                <w:rFonts w:eastAsia="Times New Roman"/>
                <w:b/>
                <w:bCs/>
                <w:color w:val="000000"/>
                <w:sz w:val="18"/>
                <w:szCs w:val="18"/>
                <w:lang w:val="fr-FR" w:eastAsia="fr-FR"/>
              </w:rPr>
              <w:br/>
              <w:t>2/1024</w:t>
            </w:r>
          </w:p>
        </w:tc>
        <w:tc>
          <w:tcPr>
            <w:tcW w:w="1029" w:type="dxa"/>
            <w:tcBorders>
              <w:top w:val="single" w:sz="8" w:space="0" w:color="auto"/>
              <w:left w:val="nil"/>
              <w:bottom w:val="single" w:sz="8" w:space="0" w:color="auto"/>
              <w:right w:val="single" w:sz="4" w:space="0" w:color="auto"/>
            </w:tcBorders>
            <w:shd w:val="clear" w:color="000000" w:fill="EEECE1"/>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SD-CDD</w:t>
            </w:r>
            <w:r w:rsidRPr="002F1F61">
              <w:rPr>
                <w:rFonts w:eastAsia="Times New Roman"/>
                <w:b/>
                <w:bCs/>
                <w:color w:val="000000"/>
                <w:sz w:val="18"/>
                <w:szCs w:val="18"/>
                <w:lang w:val="fr-FR" w:eastAsia="fr-FR"/>
              </w:rPr>
              <w:br/>
              <w:t>4/1024</w:t>
            </w:r>
          </w:p>
        </w:tc>
        <w:tc>
          <w:tcPr>
            <w:tcW w:w="1029" w:type="dxa"/>
            <w:tcBorders>
              <w:top w:val="single" w:sz="8" w:space="0" w:color="auto"/>
              <w:left w:val="nil"/>
              <w:bottom w:val="single" w:sz="8" w:space="0" w:color="auto"/>
              <w:right w:val="single" w:sz="4" w:space="0" w:color="auto"/>
            </w:tcBorders>
            <w:shd w:val="clear" w:color="000000" w:fill="EEECE1"/>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SD-CDD</w:t>
            </w:r>
            <w:r w:rsidRPr="002F1F61">
              <w:rPr>
                <w:rFonts w:eastAsia="Times New Roman"/>
                <w:b/>
                <w:bCs/>
                <w:color w:val="000000"/>
                <w:sz w:val="18"/>
                <w:szCs w:val="18"/>
                <w:lang w:val="fr-FR" w:eastAsia="fr-FR"/>
              </w:rPr>
              <w:br/>
              <w:t>8/1024</w:t>
            </w:r>
          </w:p>
        </w:tc>
        <w:tc>
          <w:tcPr>
            <w:tcW w:w="1029" w:type="dxa"/>
            <w:tcBorders>
              <w:top w:val="single" w:sz="8" w:space="0" w:color="auto"/>
              <w:left w:val="nil"/>
              <w:bottom w:val="single" w:sz="8" w:space="0" w:color="auto"/>
              <w:right w:val="single" w:sz="4" w:space="0" w:color="auto"/>
            </w:tcBorders>
            <w:shd w:val="clear" w:color="000000" w:fill="EEECE1"/>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SD-CDD</w:t>
            </w:r>
            <w:r w:rsidRPr="002F1F61">
              <w:rPr>
                <w:rFonts w:eastAsia="Times New Roman"/>
                <w:b/>
                <w:bCs/>
                <w:color w:val="000000"/>
                <w:sz w:val="18"/>
                <w:szCs w:val="18"/>
                <w:lang w:val="fr-FR" w:eastAsia="fr-FR"/>
              </w:rPr>
              <w:br/>
              <w:t>16/1024</w:t>
            </w:r>
          </w:p>
        </w:tc>
        <w:tc>
          <w:tcPr>
            <w:tcW w:w="1029" w:type="dxa"/>
            <w:tcBorders>
              <w:top w:val="single" w:sz="8" w:space="0" w:color="auto"/>
              <w:left w:val="nil"/>
              <w:bottom w:val="single" w:sz="8" w:space="0" w:color="auto"/>
              <w:right w:val="single" w:sz="4" w:space="0" w:color="auto"/>
            </w:tcBorders>
            <w:shd w:val="clear" w:color="000000" w:fill="EEECE1"/>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SD-CDD</w:t>
            </w:r>
            <w:r w:rsidRPr="002F1F61">
              <w:rPr>
                <w:rFonts w:eastAsia="Times New Roman"/>
                <w:b/>
                <w:bCs/>
                <w:color w:val="000000"/>
                <w:sz w:val="18"/>
                <w:szCs w:val="18"/>
                <w:lang w:val="fr-FR" w:eastAsia="fr-FR"/>
              </w:rPr>
              <w:br/>
              <w:t>32/1024</w:t>
            </w:r>
          </w:p>
        </w:tc>
        <w:tc>
          <w:tcPr>
            <w:tcW w:w="1029" w:type="dxa"/>
            <w:tcBorders>
              <w:top w:val="single" w:sz="8" w:space="0" w:color="auto"/>
              <w:left w:val="nil"/>
              <w:bottom w:val="single" w:sz="8" w:space="0" w:color="auto"/>
              <w:right w:val="single" w:sz="4" w:space="0" w:color="auto"/>
            </w:tcBorders>
            <w:shd w:val="clear" w:color="000000" w:fill="EEECE1"/>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SD-CDD</w:t>
            </w:r>
            <w:r w:rsidRPr="002F1F61">
              <w:rPr>
                <w:rFonts w:eastAsia="Times New Roman"/>
                <w:b/>
                <w:bCs/>
                <w:color w:val="000000"/>
                <w:sz w:val="18"/>
                <w:szCs w:val="18"/>
                <w:lang w:val="fr-FR" w:eastAsia="fr-FR"/>
              </w:rPr>
              <w:br/>
              <w:t>64/1024</w:t>
            </w:r>
          </w:p>
        </w:tc>
        <w:tc>
          <w:tcPr>
            <w:tcW w:w="1029" w:type="dxa"/>
            <w:tcBorders>
              <w:top w:val="single" w:sz="8" w:space="0" w:color="auto"/>
              <w:left w:val="nil"/>
              <w:bottom w:val="single" w:sz="8" w:space="0" w:color="auto"/>
              <w:right w:val="single" w:sz="8" w:space="0" w:color="auto"/>
            </w:tcBorders>
            <w:shd w:val="clear" w:color="000000" w:fill="EEECE1"/>
            <w:noWrap/>
            <w:vAlign w:val="center"/>
            <w:hideMark/>
          </w:tcPr>
          <w:p w:rsidR="002F1F61" w:rsidRPr="002F1F61" w:rsidRDefault="002F1F61" w:rsidP="002F1F61">
            <w:pPr>
              <w:spacing w:after="0"/>
              <w:jc w:val="center"/>
              <w:rPr>
                <w:rFonts w:eastAsia="Times New Roman"/>
                <w:b/>
                <w:bCs/>
                <w:color w:val="000000"/>
                <w:sz w:val="18"/>
                <w:szCs w:val="18"/>
                <w:lang w:val="fr-FR" w:eastAsia="fr-FR"/>
              </w:rPr>
            </w:pPr>
            <w:r w:rsidRPr="002F1F61">
              <w:rPr>
                <w:rFonts w:eastAsia="Times New Roman"/>
                <w:b/>
                <w:bCs/>
                <w:color w:val="000000"/>
                <w:sz w:val="18"/>
                <w:szCs w:val="18"/>
                <w:lang w:val="fr-FR" w:eastAsia="fr-FR"/>
              </w:rPr>
              <w:t>SIMO</w:t>
            </w:r>
          </w:p>
        </w:tc>
      </w:tr>
      <w:tr w:rsidR="002F1F61" w:rsidRPr="002F1F61" w:rsidTr="002F1F61">
        <w:trPr>
          <w:trHeight w:val="297"/>
        </w:trPr>
        <w:tc>
          <w:tcPr>
            <w:tcW w:w="502" w:type="dxa"/>
            <w:vMerge w:val="restart"/>
            <w:tcBorders>
              <w:top w:val="nil"/>
              <w:left w:val="single" w:sz="8" w:space="0" w:color="auto"/>
              <w:bottom w:val="single" w:sz="8" w:space="0" w:color="000000"/>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130ns</w:t>
            </w:r>
          </w:p>
        </w:tc>
        <w:tc>
          <w:tcPr>
            <w:tcW w:w="502"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1,3</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2,2</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nil"/>
              <w:left w:val="nil"/>
              <w:bottom w:val="single" w:sz="4" w:space="0" w:color="auto"/>
              <w:right w:val="single" w:sz="4" w:space="0" w:color="auto"/>
            </w:tcBorders>
            <w:shd w:val="clear" w:color="auto" w:fill="auto"/>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0,7</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0,6</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0,7</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60kmph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1,6</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2,4</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1,8</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0,8</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0,8</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2,4</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0,6</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120kmph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1,8</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2,2</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4,8</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1,6</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4,7</w:t>
            </w:r>
          </w:p>
        </w:tc>
      </w:tr>
      <w:tr w:rsidR="002F1F61" w:rsidRPr="002F1F61" w:rsidTr="002F1F61">
        <w:trPr>
          <w:trHeight w:val="312"/>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8"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8" w:space="0" w:color="auto"/>
              <w:right w:val="single" w:sz="4" w:space="0" w:color="auto"/>
            </w:tcBorders>
            <w:shd w:val="clear" w:color="000000" w:fill="FF808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-0,2</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2,9</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2,5</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1,8</w:t>
            </w:r>
          </w:p>
        </w:tc>
        <w:tc>
          <w:tcPr>
            <w:tcW w:w="1029" w:type="dxa"/>
            <w:tcBorders>
              <w:top w:val="nil"/>
              <w:left w:val="nil"/>
              <w:bottom w:val="single" w:sz="8" w:space="0" w:color="auto"/>
              <w:right w:val="single" w:sz="8" w:space="0" w:color="auto"/>
            </w:tcBorders>
            <w:shd w:val="clear" w:color="auto" w:fill="auto"/>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w:t>
            </w:r>
          </w:p>
        </w:tc>
      </w:tr>
      <w:tr w:rsidR="002F1F61" w:rsidRPr="002F1F61" w:rsidTr="002F1F61">
        <w:trPr>
          <w:trHeight w:val="297"/>
        </w:trPr>
        <w:tc>
          <w:tcPr>
            <w:tcW w:w="502" w:type="dxa"/>
            <w:vMerge w:val="restart"/>
            <w:tcBorders>
              <w:top w:val="nil"/>
              <w:left w:val="single" w:sz="8" w:space="0" w:color="auto"/>
              <w:bottom w:val="single" w:sz="8" w:space="0" w:color="000000"/>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300ns</w:t>
            </w:r>
          </w:p>
        </w:tc>
        <w:tc>
          <w:tcPr>
            <w:tcW w:w="502"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2,2</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-0,2</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0,6</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0,6</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60kmph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1,6</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2,4</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0,8</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0,7</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0,7</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0,6</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120kmph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3,7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4,1</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3,9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2,8</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2,2</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4,3</w:t>
            </w:r>
          </w:p>
        </w:tc>
      </w:tr>
      <w:tr w:rsidR="002F1F61" w:rsidRPr="002F1F61" w:rsidTr="002F1F61">
        <w:trPr>
          <w:trHeight w:val="312"/>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8"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8" w:space="0" w:color="auto"/>
              <w:right w:val="single" w:sz="4" w:space="0" w:color="auto"/>
            </w:tcBorders>
            <w:shd w:val="clear" w:color="000000" w:fill="FF808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2,5</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1,3</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8"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0,8</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1,6</w:t>
            </w:r>
          </w:p>
        </w:tc>
        <w:tc>
          <w:tcPr>
            <w:tcW w:w="1029" w:type="dxa"/>
            <w:tcBorders>
              <w:top w:val="single" w:sz="4" w:space="0" w:color="auto"/>
              <w:left w:val="single" w:sz="4" w:space="0" w:color="auto"/>
              <w:bottom w:val="single" w:sz="8"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5</w:t>
            </w:r>
          </w:p>
        </w:tc>
      </w:tr>
      <w:tr w:rsidR="002F1F61" w:rsidRPr="002F1F61" w:rsidTr="002F1F61">
        <w:trPr>
          <w:trHeight w:val="297"/>
        </w:trPr>
        <w:tc>
          <w:tcPr>
            <w:tcW w:w="502" w:type="dxa"/>
            <w:vMerge w:val="restart"/>
            <w:tcBorders>
              <w:top w:val="nil"/>
              <w:left w:val="single" w:sz="8" w:space="0" w:color="auto"/>
              <w:bottom w:val="single" w:sz="8" w:space="0" w:color="000000"/>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1000ns</w:t>
            </w:r>
          </w:p>
        </w:tc>
        <w:tc>
          <w:tcPr>
            <w:tcW w:w="502"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8"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8"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8"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8"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-0,2</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0,6</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0,6</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1,4</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val="restart"/>
            <w:tcBorders>
              <w:top w:val="nil"/>
              <w:left w:val="single" w:sz="4" w:space="0" w:color="auto"/>
              <w:bottom w:val="single" w:sz="4" w:space="0" w:color="auto"/>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60kmph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2,6</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0,2</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2,1</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1,6</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0,8</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0,8</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1,1</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2,4</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4" w:space="0" w:color="auto"/>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4" w:space="0" w:color="auto"/>
              <w:right w:val="single" w:sz="4" w:space="0" w:color="auto"/>
            </w:tcBorders>
            <w:shd w:val="clear" w:color="000000" w:fill="FF808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0,9</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0,5</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99CC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0,7</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val="restart"/>
            <w:tcBorders>
              <w:top w:val="nil"/>
              <w:left w:val="single" w:sz="4" w:space="0" w:color="auto"/>
              <w:bottom w:val="single" w:sz="8" w:space="0" w:color="000000"/>
              <w:right w:val="single" w:sz="4" w:space="0" w:color="auto"/>
            </w:tcBorders>
            <w:shd w:val="clear" w:color="000000" w:fill="EEECE1"/>
            <w:noWrap/>
            <w:textDirection w:val="btLr"/>
            <w:vAlign w:val="center"/>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120kmph</w:t>
            </w: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3RB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0,4</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3,5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1,7</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2,4</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w:t>
            </w:r>
          </w:p>
        </w:tc>
      </w:tr>
      <w:tr w:rsidR="002F1F61" w:rsidRPr="002F1F61" w:rsidTr="002F1F61">
        <w:trPr>
          <w:trHeight w:val="297"/>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4"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5RB</w:t>
            </w:r>
          </w:p>
        </w:tc>
        <w:tc>
          <w:tcPr>
            <w:tcW w:w="1029" w:type="dxa"/>
            <w:tcBorders>
              <w:top w:val="single" w:sz="4" w:space="0" w:color="auto"/>
              <w:left w:val="single" w:sz="4" w:space="0" w:color="auto"/>
              <w:bottom w:val="single" w:sz="4" w:space="0" w:color="auto"/>
              <w:right w:val="single" w:sz="4" w:space="0" w:color="auto"/>
            </w:tcBorders>
            <w:shd w:val="clear" w:color="000000" w:fill="CCFFCC"/>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0,3</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3,8</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2,6</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1,8</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1,6</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4"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2,2</w:t>
            </w:r>
          </w:p>
        </w:tc>
        <w:tc>
          <w:tcPr>
            <w:tcW w:w="1029" w:type="dxa"/>
            <w:tcBorders>
              <w:top w:val="single" w:sz="4" w:space="0" w:color="auto"/>
              <w:left w:val="single" w:sz="4" w:space="0" w:color="auto"/>
              <w:bottom w:val="single" w:sz="4"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4,2</w:t>
            </w:r>
          </w:p>
        </w:tc>
      </w:tr>
      <w:tr w:rsidR="002F1F61" w:rsidRPr="002F1F61" w:rsidTr="002F1F61">
        <w:trPr>
          <w:trHeight w:val="312"/>
        </w:trPr>
        <w:tc>
          <w:tcPr>
            <w:tcW w:w="502" w:type="dxa"/>
            <w:vMerge/>
            <w:tcBorders>
              <w:top w:val="nil"/>
              <w:left w:val="single" w:sz="8"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502" w:type="dxa"/>
            <w:vMerge/>
            <w:tcBorders>
              <w:top w:val="nil"/>
              <w:left w:val="single" w:sz="4" w:space="0" w:color="auto"/>
              <w:bottom w:val="single" w:sz="8" w:space="0" w:color="000000"/>
              <w:right w:val="single" w:sz="4" w:space="0" w:color="auto"/>
            </w:tcBorders>
            <w:vAlign w:val="center"/>
            <w:hideMark/>
          </w:tcPr>
          <w:p w:rsidR="002F1F61" w:rsidRPr="002F1F61" w:rsidRDefault="002F1F61" w:rsidP="002F1F61">
            <w:pPr>
              <w:spacing w:after="0"/>
              <w:jc w:val="left"/>
              <w:rPr>
                <w:rFonts w:eastAsia="Times New Roman"/>
                <w:color w:val="000000"/>
                <w:sz w:val="18"/>
                <w:szCs w:val="18"/>
                <w:lang w:val="fr-FR" w:eastAsia="fr-FR"/>
              </w:rPr>
            </w:pPr>
          </w:p>
        </w:tc>
        <w:tc>
          <w:tcPr>
            <w:tcW w:w="753" w:type="dxa"/>
            <w:tcBorders>
              <w:top w:val="nil"/>
              <w:left w:val="nil"/>
              <w:bottom w:val="single" w:sz="8" w:space="0" w:color="auto"/>
              <w:right w:val="single" w:sz="4" w:space="0" w:color="auto"/>
            </w:tcBorders>
            <w:shd w:val="clear" w:color="000000" w:fill="EEECE1"/>
            <w:noWrap/>
            <w:vAlign w:val="bottom"/>
            <w:hideMark/>
          </w:tcPr>
          <w:p w:rsidR="002F1F61" w:rsidRPr="002F1F61" w:rsidRDefault="002F1F61" w:rsidP="002F1F61">
            <w:pPr>
              <w:spacing w:after="0"/>
              <w:jc w:val="left"/>
              <w:rPr>
                <w:rFonts w:eastAsia="Times New Roman"/>
                <w:color w:val="000000"/>
                <w:sz w:val="18"/>
                <w:szCs w:val="18"/>
                <w:lang w:val="fr-FR" w:eastAsia="fr-FR"/>
              </w:rPr>
            </w:pPr>
            <w:r w:rsidRPr="002F1F61">
              <w:rPr>
                <w:rFonts w:eastAsia="Times New Roman"/>
                <w:color w:val="000000"/>
                <w:sz w:val="18"/>
                <w:szCs w:val="18"/>
                <w:lang w:val="fr-FR" w:eastAsia="fr-FR"/>
              </w:rPr>
              <w:t>15RB</w:t>
            </w:r>
          </w:p>
        </w:tc>
        <w:tc>
          <w:tcPr>
            <w:tcW w:w="1029" w:type="dxa"/>
            <w:tcBorders>
              <w:top w:val="single" w:sz="4" w:space="0" w:color="auto"/>
              <w:left w:val="single" w:sz="4" w:space="0" w:color="auto"/>
              <w:bottom w:val="single" w:sz="8" w:space="0" w:color="auto"/>
              <w:right w:val="single" w:sz="4" w:space="0" w:color="auto"/>
            </w:tcBorders>
            <w:shd w:val="clear" w:color="000000" w:fill="FF808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-0,2</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2,6</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1,5</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1,2</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w:t>
            </w:r>
          </w:p>
        </w:tc>
        <w:tc>
          <w:tcPr>
            <w:tcW w:w="1029" w:type="dxa"/>
            <w:tcBorders>
              <w:top w:val="single" w:sz="4" w:space="0" w:color="auto"/>
              <w:left w:val="single" w:sz="4" w:space="0" w:color="auto"/>
              <w:bottom w:val="single" w:sz="8" w:space="0" w:color="auto"/>
              <w:right w:val="single" w:sz="4"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1,9</w:t>
            </w:r>
          </w:p>
        </w:tc>
        <w:tc>
          <w:tcPr>
            <w:tcW w:w="1029" w:type="dxa"/>
            <w:tcBorders>
              <w:top w:val="single" w:sz="4" w:space="0" w:color="auto"/>
              <w:left w:val="single" w:sz="4" w:space="0" w:color="auto"/>
              <w:bottom w:val="single" w:sz="8" w:space="0" w:color="auto"/>
              <w:right w:val="single" w:sz="8" w:space="0" w:color="auto"/>
            </w:tcBorders>
            <w:shd w:val="clear" w:color="000000" w:fill="008000"/>
            <w:noWrap/>
            <w:vAlign w:val="bottom"/>
            <w:hideMark/>
          </w:tcPr>
          <w:p w:rsidR="002F1F61" w:rsidRPr="002F1F61" w:rsidRDefault="002F1F61" w:rsidP="002F1F61">
            <w:pPr>
              <w:spacing w:after="0"/>
              <w:jc w:val="center"/>
              <w:rPr>
                <w:rFonts w:eastAsia="Times New Roman"/>
                <w:color w:val="000000"/>
                <w:sz w:val="18"/>
                <w:szCs w:val="18"/>
                <w:lang w:val="fr-FR" w:eastAsia="fr-FR"/>
              </w:rPr>
            </w:pPr>
            <w:r w:rsidRPr="002F1F61">
              <w:rPr>
                <w:rFonts w:eastAsia="Times New Roman"/>
                <w:color w:val="000000"/>
                <w:sz w:val="18"/>
                <w:szCs w:val="18"/>
                <w:lang w:val="fr-FR" w:eastAsia="fr-FR"/>
              </w:rPr>
              <w:t>5,4</w:t>
            </w:r>
          </w:p>
        </w:tc>
      </w:tr>
    </w:tbl>
    <w:p w:rsidR="0088621E" w:rsidRDefault="0088621E" w:rsidP="005624D8">
      <w:pPr>
        <w:shd w:val="clear" w:color="auto" w:fill="FFFFFF" w:themeFill="background1"/>
      </w:pPr>
    </w:p>
    <w:p w:rsidR="0088621E" w:rsidRDefault="0088621E">
      <w:pPr>
        <w:spacing w:after="0"/>
        <w:jc w:val="left"/>
      </w:pPr>
      <w:r>
        <w:br w:type="page"/>
      </w:r>
    </w:p>
    <w:p w:rsidR="00FF1D59" w:rsidRPr="0073662B" w:rsidRDefault="00FF1D59" w:rsidP="002E7516">
      <w:pPr>
        <w:pBdr>
          <w:bottom w:val="single" w:sz="12" w:space="1" w:color="auto"/>
        </w:pBdr>
      </w:pPr>
    </w:p>
    <w:p w:rsidR="00C42741" w:rsidRDefault="00C42741" w:rsidP="00A81622">
      <w:pPr>
        <w:pStyle w:val="Titre1"/>
      </w:pPr>
      <w:r w:rsidRPr="0073662B">
        <w:t>Conclusion</w:t>
      </w:r>
    </w:p>
    <w:p w:rsidR="000E03BA" w:rsidRDefault="000E03BA" w:rsidP="000E03BA"/>
    <w:p w:rsidR="000E03BA" w:rsidRDefault="000E03BA" w:rsidP="000E03BA">
      <w:pPr>
        <w:shd w:val="clear" w:color="auto" w:fill="FFFFFF" w:themeFill="background1"/>
      </w:pPr>
      <w:r w:rsidRPr="0073662B">
        <w:t>CDD is easy to implement and can be transparent to the receiver</w:t>
      </w:r>
      <w:r>
        <w:t xml:space="preserve"> in the case of short delay CDD</w:t>
      </w:r>
      <w:r w:rsidRPr="0073662B">
        <w:t xml:space="preserve"> </w:t>
      </w:r>
      <w:r>
        <w:t xml:space="preserve">(SD-CDD). </w:t>
      </w:r>
      <w:r w:rsidRPr="0073662B">
        <w:t>Nevertheless, CDD has very variable performance depending on the applied delay, and an optimized delay (depending on the channel profile, allocation size, modcod) cannot be applied in an open loop scenario. Also, since CDD recovers frequency diversity through coding, CDD performance degrades with less strong coding and in scenarios where enough diversity is already present (frequency selective channels/frequency hopping transmission where the extra diversity obtained through CDD is limited, high speed where the extra diversity wrt to already present time diversity has limited gain, etc).</w:t>
      </w:r>
      <w:r>
        <w:t xml:space="preserve"> </w:t>
      </w:r>
    </w:p>
    <w:p w:rsidR="000E03BA" w:rsidRPr="0021555E" w:rsidRDefault="000E03BA" w:rsidP="000E03BA">
      <w:r w:rsidRPr="0021555E">
        <w:t>SC-SFBC has the following advantages:</w:t>
      </w:r>
    </w:p>
    <w:p w:rsidR="000E03BA" w:rsidRPr="0021555E" w:rsidRDefault="000E03BA" w:rsidP="000E03BA">
      <w:pPr>
        <w:pStyle w:val="Paragraphedeliste"/>
        <w:numPr>
          <w:ilvl w:val="0"/>
          <w:numId w:val="8"/>
        </w:numPr>
        <w:ind w:leftChars="0"/>
      </w:pPr>
      <w:r w:rsidRPr="0021555E">
        <w:t>PAPR preserv</w:t>
      </w:r>
      <w:r>
        <w:t>ing for all constellation types</w:t>
      </w:r>
      <w:r w:rsidRPr="0021555E">
        <w:t xml:space="preserve"> </w:t>
      </w:r>
    </w:p>
    <w:p w:rsidR="000E03BA" w:rsidRPr="0021555E" w:rsidRDefault="000E03BA" w:rsidP="000E03BA">
      <w:pPr>
        <w:pStyle w:val="Paragraphedeliste"/>
        <w:numPr>
          <w:ilvl w:val="0"/>
          <w:numId w:val="8"/>
        </w:numPr>
        <w:ind w:leftChars="0"/>
      </w:pPr>
      <w:r w:rsidRPr="0021555E">
        <w:t xml:space="preserve">operating on single symbol DFTsOFDM, </w:t>
      </w:r>
    </w:p>
    <w:p w:rsidR="000E03BA" w:rsidRPr="0021555E" w:rsidRDefault="000E03BA" w:rsidP="000E03BA">
      <w:pPr>
        <w:pStyle w:val="Paragraphedeliste"/>
        <w:numPr>
          <w:ilvl w:val="0"/>
          <w:numId w:val="8"/>
        </w:numPr>
        <w:ind w:leftChars="0"/>
      </w:pPr>
      <w:r w:rsidRPr="0021555E">
        <w:t xml:space="preserve">full diversity achieving, </w:t>
      </w:r>
    </w:p>
    <w:p w:rsidR="000E03BA" w:rsidRPr="0021555E" w:rsidRDefault="000E03BA" w:rsidP="000E03BA">
      <w:pPr>
        <w:pStyle w:val="Paragraphedeliste"/>
        <w:numPr>
          <w:ilvl w:val="0"/>
          <w:numId w:val="8"/>
        </w:numPr>
        <w:ind w:leftChars="0"/>
      </w:pPr>
      <w:r>
        <w:t>w</w:t>
      </w:r>
      <w:r w:rsidRPr="0021555E">
        <w:t>ith low-complexity frequency-domain decoding at subcarrier level.</w:t>
      </w:r>
    </w:p>
    <w:p w:rsidR="000E03BA" w:rsidRPr="006C2369" w:rsidRDefault="000E03BA" w:rsidP="000E03BA">
      <w:pPr>
        <w:shd w:val="clear" w:color="auto" w:fill="FFFFFF" w:themeFill="background1"/>
        <w:rPr>
          <w:rFonts w:ascii="Calibri" w:eastAsia="Calibri" w:hAnsi="Calibri"/>
          <w:sz w:val="22"/>
          <w:szCs w:val="22"/>
          <w:lang w:eastAsia="en-US"/>
        </w:rPr>
      </w:pPr>
      <w:r>
        <w:t>SC-SFBC has similar performance with classical SFBC, the penalty due to precoding onto non-adjacent subcarriers being small even on very dispersive channels and with large band allocations. Considering the fact that SC-SFBC is PAPR preserving, while SFBC brings 0.5dB of MPR loss, SC-SFBC is preferred.</w:t>
      </w:r>
    </w:p>
    <w:p w:rsidR="000E03BA" w:rsidRPr="000E03BA" w:rsidRDefault="000E03BA" w:rsidP="000E03BA"/>
    <w:p w:rsidR="0088621E" w:rsidRDefault="0088621E" w:rsidP="0088621E">
      <w:pPr>
        <w:shd w:val="clear" w:color="auto" w:fill="FFFFFF" w:themeFill="background1"/>
      </w:pPr>
      <w:r>
        <w:rPr>
          <w:b/>
        </w:rPr>
        <w:t>O</w:t>
      </w:r>
      <w:r w:rsidRPr="0088621E">
        <w:rPr>
          <w:b/>
        </w:rPr>
        <w:t>bservations</w:t>
      </w:r>
      <w:r>
        <w:rPr>
          <w:b/>
        </w:rPr>
        <w:t>:</w:t>
      </w:r>
    </w:p>
    <w:p w:rsidR="0088621E" w:rsidRPr="0088621E" w:rsidRDefault="0088621E" w:rsidP="0088621E">
      <w:pPr>
        <w:pStyle w:val="Paragraphedeliste"/>
        <w:numPr>
          <w:ilvl w:val="0"/>
          <w:numId w:val="8"/>
        </w:numPr>
        <w:shd w:val="clear" w:color="auto" w:fill="FFFFFF" w:themeFill="background1"/>
        <w:ind w:leftChars="0"/>
        <w:rPr>
          <w:i/>
        </w:rPr>
      </w:pPr>
      <w:r w:rsidRPr="0088621E">
        <w:rPr>
          <w:i/>
        </w:rPr>
        <w:t>SD-CDD performance is highly dependent on the chosen delay.</w:t>
      </w:r>
      <w:r>
        <w:rPr>
          <w:i/>
        </w:rPr>
        <w:t xml:space="preserve"> </w:t>
      </w:r>
      <w:r w:rsidRPr="0088621E">
        <w:rPr>
          <w:i/>
        </w:rPr>
        <w:t>With non-optimized delay, transparent SD-CDD may have no gain over SIMO in some scenarios.</w:t>
      </w:r>
    </w:p>
    <w:p w:rsidR="0088621E" w:rsidRPr="0088621E" w:rsidRDefault="0088621E" w:rsidP="0088621E">
      <w:pPr>
        <w:pStyle w:val="Paragraphedeliste"/>
        <w:numPr>
          <w:ilvl w:val="0"/>
          <w:numId w:val="8"/>
        </w:numPr>
        <w:shd w:val="clear" w:color="auto" w:fill="FFFFFF" w:themeFill="background1"/>
        <w:ind w:leftChars="0"/>
        <w:rPr>
          <w:i/>
        </w:rPr>
      </w:pPr>
      <w:r w:rsidRPr="0088621E">
        <w:rPr>
          <w:i/>
        </w:rPr>
        <w:t>SD-CDD is sensitive to high mobility and is less performing than Alamouti-based schemes at high speed.</w:t>
      </w:r>
    </w:p>
    <w:p w:rsidR="0088621E" w:rsidRPr="0088621E" w:rsidRDefault="0088621E" w:rsidP="0088621E">
      <w:pPr>
        <w:pStyle w:val="Paragraphedeliste"/>
        <w:numPr>
          <w:ilvl w:val="0"/>
          <w:numId w:val="8"/>
        </w:numPr>
        <w:shd w:val="clear" w:color="auto" w:fill="FFFFFF" w:themeFill="background1"/>
        <w:ind w:leftChars="0"/>
        <w:rPr>
          <w:i/>
        </w:rPr>
      </w:pPr>
      <w:r w:rsidRPr="0088621E">
        <w:rPr>
          <w:i/>
        </w:rPr>
        <w:t>SD-CDD is sensitive to coding rate changes and is less performing than Alamouti-based schemes with relaxed coding rates.</w:t>
      </w:r>
    </w:p>
    <w:p w:rsidR="0088621E" w:rsidRPr="0088621E" w:rsidRDefault="0088621E" w:rsidP="0088621E">
      <w:pPr>
        <w:pStyle w:val="Paragraphedeliste"/>
        <w:numPr>
          <w:ilvl w:val="0"/>
          <w:numId w:val="8"/>
        </w:numPr>
        <w:shd w:val="clear" w:color="auto" w:fill="FFFFFF" w:themeFill="background1"/>
        <w:ind w:leftChars="0"/>
        <w:rPr>
          <w:i/>
        </w:rPr>
      </w:pPr>
      <w:r w:rsidRPr="0088621E">
        <w:rPr>
          <w:i/>
        </w:rPr>
        <w:t>SD-CDD matches Alamouti-based performance only with strongly coded QPSK at low to medium speed. In all other scenarios, SD-CDD performs worse or significantly worse than Alamouti-based schemes.</w:t>
      </w:r>
    </w:p>
    <w:p w:rsidR="0088621E" w:rsidRDefault="0088621E" w:rsidP="0088621E">
      <w:pPr>
        <w:pStyle w:val="Paragraphedeliste"/>
        <w:numPr>
          <w:ilvl w:val="0"/>
          <w:numId w:val="8"/>
        </w:numPr>
        <w:shd w:val="clear" w:color="auto" w:fill="FFFFFF" w:themeFill="background1"/>
        <w:ind w:leftChars="0"/>
        <w:rPr>
          <w:i/>
        </w:rPr>
      </w:pPr>
      <w:r w:rsidRPr="0088621E">
        <w:rPr>
          <w:i/>
        </w:rPr>
        <w:t>The limited performance gain of non-transparent SD-CDD does not justify the specification effort.</w:t>
      </w:r>
    </w:p>
    <w:p w:rsidR="0088621E" w:rsidRDefault="0088621E" w:rsidP="0088621E">
      <w:pPr>
        <w:pStyle w:val="Paragraphedeliste"/>
        <w:numPr>
          <w:ilvl w:val="0"/>
          <w:numId w:val="8"/>
        </w:numPr>
        <w:shd w:val="clear" w:color="auto" w:fill="FFFFFF" w:themeFill="background1"/>
        <w:ind w:leftChars="0"/>
        <w:rPr>
          <w:i/>
        </w:rPr>
      </w:pPr>
      <w:r w:rsidRPr="0073662B">
        <w:rPr>
          <w:i/>
        </w:rPr>
        <w:t xml:space="preserve">Full diversity Alamouti schemes are more robust than </w:t>
      </w:r>
      <w:r>
        <w:rPr>
          <w:i/>
        </w:rPr>
        <w:t>SD-</w:t>
      </w:r>
      <w:r w:rsidRPr="0073662B">
        <w:rPr>
          <w:i/>
        </w:rPr>
        <w:t>CDD</w:t>
      </w:r>
      <w:r>
        <w:rPr>
          <w:i/>
        </w:rPr>
        <w:t>.</w:t>
      </w:r>
    </w:p>
    <w:p w:rsidR="0088621E" w:rsidRPr="0088621E" w:rsidRDefault="0088621E" w:rsidP="0088621E">
      <w:pPr>
        <w:pStyle w:val="Paragraphedeliste"/>
        <w:numPr>
          <w:ilvl w:val="0"/>
          <w:numId w:val="8"/>
        </w:numPr>
        <w:shd w:val="clear" w:color="auto" w:fill="FFFFFF" w:themeFill="background1"/>
        <w:ind w:leftChars="0"/>
        <w:rPr>
          <w:i/>
        </w:rPr>
      </w:pPr>
      <w:r>
        <w:rPr>
          <w:i/>
        </w:rPr>
        <w:t>When the 0.5dB MPR loss of SFBC is taken into account, SC-SFBC performs overall better than SFBC.</w:t>
      </w:r>
    </w:p>
    <w:p w:rsidR="0088621E" w:rsidRDefault="00401D41" w:rsidP="00401D41">
      <w:r w:rsidRPr="0073662B">
        <w:rPr>
          <w:b/>
        </w:rPr>
        <w:t>Proposal</w:t>
      </w:r>
      <w:r w:rsidRPr="0073662B">
        <w:t xml:space="preserve">: </w:t>
      </w:r>
      <w:r w:rsidR="0088621E" w:rsidRPr="0088621E">
        <w:rPr>
          <w:i/>
        </w:rPr>
        <w:t>Confirm the working assumption</w:t>
      </w:r>
      <w:r w:rsidR="0088621E">
        <w:t xml:space="preserve"> </w:t>
      </w:r>
      <w:r w:rsidR="0088621E">
        <w:rPr>
          <w:rFonts w:eastAsia="MS Mincho"/>
          <w:i/>
        </w:rPr>
        <w:t>that for</w:t>
      </w:r>
      <w:r w:rsidR="0088621E" w:rsidRPr="00D528CE">
        <w:rPr>
          <w:rFonts w:eastAsia="MS Mincho"/>
          <w:i/>
        </w:rPr>
        <w:t xml:space="preserve"> designing PSSCH, RAN1 assumes the use of two-port </w:t>
      </w:r>
      <w:r w:rsidR="0088621E" w:rsidRPr="000C123C">
        <w:rPr>
          <w:rFonts w:eastAsia="Yu Mincho"/>
          <w:i/>
          <w:szCs w:val="20"/>
        </w:rPr>
        <w:t>SFBC-based scheme (including PAPR preserving)</w:t>
      </w:r>
      <w:r w:rsidR="0088621E" w:rsidRPr="0088621E">
        <w:rPr>
          <w:rFonts w:eastAsia="MS Mincho"/>
          <w:i/>
        </w:rPr>
        <w:t xml:space="preserve"> </w:t>
      </w:r>
      <w:r w:rsidR="0088621E" w:rsidRPr="00D528CE">
        <w:rPr>
          <w:rFonts w:eastAsia="MS Mincho"/>
          <w:i/>
        </w:rPr>
        <w:t>non-transparent transmit diversity</w:t>
      </w:r>
      <w:r w:rsidR="0088621E">
        <w:rPr>
          <w:rFonts w:eastAsia="MS Mincho"/>
          <w:i/>
        </w:rPr>
        <w:t>.</w:t>
      </w:r>
    </w:p>
    <w:p w:rsidR="00401D41" w:rsidRPr="0073662B" w:rsidRDefault="0088621E" w:rsidP="00401D41">
      <w:pPr>
        <w:rPr>
          <w:i/>
        </w:rPr>
      </w:pPr>
      <w:r w:rsidRPr="0073662B">
        <w:rPr>
          <w:b/>
        </w:rPr>
        <w:t>Proposal</w:t>
      </w:r>
      <w:r w:rsidRPr="0073662B">
        <w:t>:</w:t>
      </w:r>
      <w:r>
        <w:t xml:space="preserve"> </w:t>
      </w:r>
      <w:r w:rsidR="00401D41" w:rsidRPr="00EA59E6">
        <w:rPr>
          <w:i/>
        </w:rPr>
        <w:t>SC-SFBC</w:t>
      </w:r>
      <w:r w:rsidR="00401D41">
        <w:t xml:space="preserve"> </w:t>
      </w:r>
      <w:r w:rsidR="00401D41" w:rsidRPr="00E74B84">
        <w:rPr>
          <w:i/>
          <w:szCs w:val="20"/>
        </w:rPr>
        <w:t>Alamouti-based transmit diversity is supported for P</w:t>
      </w:r>
      <w:r w:rsidR="00160772">
        <w:rPr>
          <w:i/>
          <w:szCs w:val="20"/>
        </w:rPr>
        <w:t>S</w:t>
      </w:r>
      <w:r w:rsidR="00401D41" w:rsidRPr="00E74B84">
        <w:rPr>
          <w:i/>
          <w:szCs w:val="20"/>
        </w:rPr>
        <w:t>SCH with DFTsOFDM</w:t>
      </w:r>
    </w:p>
    <w:p w:rsidR="0005616B" w:rsidRDefault="0005616B" w:rsidP="000169BB"/>
    <w:p w:rsidR="0088621E" w:rsidRDefault="0088621E" w:rsidP="000169BB"/>
    <w:p w:rsidR="0088621E" w:rsidRDefault="0088621E" w:rsidP="000169BB"/>
    <w:p w:rsidR="000169BB" w:rsidRDefault="000169BB" w:rsidP="000169BB"/>
    <w:p w:rsidR="000169BB" w:rsidRPr="0073662B" w:rsidRDefault="000169BB" w:rsidP="0005616B">
      <w:pPr>
        <w:pBdr>
          <w:bottom w:val="single" w:sz="12" w:space="1" w:color="auto"/>
        </w:pBdr>
      </w:pPr>
    </w:p>
    <w:p w:rsidR="0005616B" w:rsidRPr="002147D0" w:rsidRDefault="0005616B" w:rsidP="0005616B">
      <w:pPr>
        <w:pStyle w:val="Titre1"/>
      </w:pPr>
      <w:r w:rsidRPr="002147D0">
        <w:t>References</w:t>
      </w:r>
    </w:p>
    <w:p w:rsidR="00072207" w:rsidRDefault="00072207" w:rsidP="00175C63">
      <w:pPr>
        <w:pStyle w:val="Titre3"/>
        <w:numPr>
          <w:ilvl w:val="0"/>
          <w:numId w:val="6"/>
        </w:numPr>
      </w:pPr>
      <w:bookmarkStart w:id="9" w:name="_Ref510540828"/>
      <w:bookmarkStart w:id="10" w:name="_Ref506373676"/>
      <w:bookmarkStart w:id="11" w:name="_Ref498549168"/>
      <w:bookmarkStart w:id="12" w:name="_Ref477366453"/>
      <w:bookmarkStart w:id="13" w:name="_Ref468982085"/>
      <w:bookmarkStart w:id="14" w:name="_Ref461457447"/>
      <w:bookmarkStart w:id="15" w:name="_Ref457744160"/>
      <w:bookmarkStart w:id="16" w:name="_Ref468983461"/>
      <w:r>
        <w:t>Chairman’s notes, RAN1 #92, Athens, Greece, February 2017.</w:t>
      </w:r>
      <w:bookmarkEnd w:id="9"/>
    </w:p>
    <w:p w:rsidR="00072207" w:rsidRPr="00072207" w:rsidRDefault="000C123C" w:rsidP="00072207">
      <w:pPr>
        <w:pStyle w:val="Titre3"/>
        <w:numPr>
          <w:ilvl w:val="0"/>
          <w:numId w:val="6"/>
        </w:numPr>
      </w:pPr>
      <w:bookmarkStart w:id="17" w:name="_Ref510540835"/>
      <w:r>
        <w:t>Chairman’s notes, RAN1 #91, Reno, NV, USA, November 2017.</w:t>
      </w:r>
      <w:bookmarkEnd w:id="10"/>
      <w:bookmarkEnd w:id="17"/>
    </w:p>
    <w:p w:rsidR="000C123C" w:rsidRDefault="000C123C" w:rsidP="00175C63">
      <w:pPr>
        <w:pStyle w:val="Titre3"/>
        <w:numPr>
          <w:ilvl w:val="0"/>
          <w:numId w:val="6"/>
        </w:numPr>
      </w:pPr>
      <w:bookmarkStart w:id="18" w:name="_Ref506373666"/>
      <w:r w:rsidRPr="0073662B">
        <w:t xml:space="preserve">Chairman’s notes, RAN1 </w:t>
      </w:r>
      <w:r>
        <w:t>#90b</w:t>
      </w:r>
      <w:r w:rsidRPr="0073662B">
        <w:t xml:space="preserve">, </w:t>
      </w:r>
      <w:r>
        <w:t>Prague, Czech Republic, October</w:t>
      </w:r>
      <w:r w:rsidRPr="0073662B">
        <w:t xml:space="preserve"> 2017.</w:t>
      </w:r>
      <w:bookmarkEnd w:id="11"/>
      <w:bookmarkEnd w:id="18"/>
    </w:p>
    <w:p w:rsidR="0005616B" w:rsidRPr="0073662B" w:rsidRDefault="0005616B" w:rsidP="00175C63">
      <w:pPr>
        <w:pStyle w:val="Titre3"/>
        <w:numPr>
          <w:ilvl w:val="0"/>
          <w:numId w:val="6"/>
        </w:numPr>
      </w:pPr>
      <w:bookmarkStart w:id="19" w:name="_Ref506396281"/>
      <w:r w:rsidRPr="0073662B">
        <w:t xml:space="preserve">Chairman’s notes, RAN1 </w:t>
      </w:r>
      <w:r>
        <w:t>#90</w:t>
      </w:r>
      <w:r w:rsidRPr="0073662B">
        <w:t xml:space="preserve">, </w:t>
      </w:r>
      <w:r>
        <w:t>Prague, Czech Republic, August</w:t>
      </w:r>
      <w:r w:rsidRPr="0073662B">
        <w:t xml:space="preserve"> 2017.</w:t>
      </w:r>
      <w:bookmarkEnd w:id="12"/>
      <w:bookmarkEnd w:id="19"/>
    </w:p>
    <w:p w:rsidR="0005616B" w:rsidRDefault="0005616B" w:rsidP="00175C63">
      <w:pPr>
        <w:pStyle w:val="Titre3"/>
        <w:numPr>
          <w:ilvl w:val="0"/>
          <w:numId w:val="6"/>
        </w:numPr>
      </w:pPr>
      <w:bookmarkStart w:id="20" w:name="_Ref484187793"/>
      <w:bookmarkStart w:id="21" w:name="_Ref477366465"/>
      <w:bookmarkStart w:id="22" w:name="_Ref481586870"/>
      <w:r>
        <w:t>Chairman’s notes, RAN1 #88b</w:t>
      </w:r>
      <w:r w:rsidRPr="0073662B">
        <w:t xml:space="preserve">, </w:t>
      </w:r>
      <w:r>
        <w:t>Spokane, April</w:t>
      </w:r>
      <w:r w:rsidRPr="0073662B">
        <w:t xml:space="preserve"> 2017</w:t>
      </w:r>
      <w:bookmarkEnd w:id="20"/>
    </w:p>
    <w:p w:rsidR="0005616B" w:rsidRDefault="0005616B" w:rsidP="00175C63">
      <w:pPr>
        <w:pStyle w:val="Titre3"/>
        <w:numPr>
          <w:ilvl w:val="0"/>
          <w:numId w:val="6"/>
        </w:numPr>
      </w:pPr>
      <w:bookmarkStart w:id="23" w:name="_Ref492582194"/>
      <w:bookmarkStart w:id="24" w:name="_Ref468984773"/>
      <w:bookmarkEnd w:id="13"/>
      <w:bookmarkEnd w:id="14"/>
      <w:bookmarkEnd w:id="15"/>
      <w:bookmarkEnd w:id="16"/>
      <w:bookmarkEnd w:id="21"/>
      <w:bookmarkEnd w:id="22"/>
      <w:r w:rsidRPr="0073662B">
        <w:t>C. Ciochina, D. Castelain, D. Mottier and H. Sari, “A Space-Frequency Block Code for Single-Carrier FDMA,” Electronics Letters 44(11):690 - 691 February 2008</w:t>
      </w:r>
    </w:p>
    <w:p w:rsidR="001012F8" w:rsidRDefault="001012F8" w:rsidP="00175C63">
      <w:pPr>
        <w:pStyle w:val="Titre3"/>
        <w:numPr>
          <w:ilvl w:val="0"/>
          <w:numId w:val="6"/>
        </w:numPr>
      </w:pPr>
      <w:bookmarkStart w:id="25" w:name="_Ref494406673"/>
      <w:r w:rsidRPr="00D47F8C">
        <w:t>R1-</w:t>
      </w:r>
      <w:r>
        <w:t xml:space="preserve">1804038, </w:t>
      </w:r>
      <w:r w:rsidRPr="00D47F8C">
        <w:t>Low PAPR SFBC for V2X transmit diversity</w:t>
      </w:r>
      <w:r>
        <w:t>, Mitsubishi Electric, RAN1#91, Reno, November 2017.</w:t>
      </w:r>
    </w:p>
    <w:p w:rsidR="0005616B" w:rsidRDefault="0005616B" w:rsidP="00175C63">
      <w:pPr>
        <w:pStyle w:val="Titre3"/>
        <w:numPr>
          <w:ilvl w:val="0"/>
          <w:numId w:val="6"/>
        </w:numPr>
      </w:pPr>
      <w:bookmarkStart w:id="26" w:name="_Ref510541728"/>
      <w:r w:rsidRPr="00D47F8C">
        <w:t>R1-</w:t>
      </w:r>
      <w:r w:rsidR="00AD2A97">
        <w:t>1802251</w:t>
      </w:r>
      <w:r>
        <w:t xml:space="preserve">, </w:t>
      </w:r>
      <w:r w:rsidRPr="00D47F8C">
        <w:t>Low PAPR SFBC for V2X transmit diversity</w:t>
      </w:r>
      <w:r>
        <w:t>, Mitsubishi Electric, RAN1#9</w:t>
      </w:r>
      <w:r w:rsidR="004129A4">
        <w:t>1</w:t>
      </w:r>
      <w:r>
        <w:t xml:space="preserve">, </w:t>
      </w:r>
      <w:r w:rsidR="004129A4">
        <w:t>Reno</w:t>
      </w:r>
      <w:r>
        <w:t xml:space="preserve">, </w:t>
      </w:r>
      <w:r w:rsidR="004129A4">
        <w:t>November</w:t>
      </w:r>
      <w:r>
        <w:t xml:space="preserve"> 2017.</w:t>
      </w:r>
      <w:bookmarkEnd w:id="25"/>
      <w:bookmarkEnd w:id="26"/>
    </w:p>
    <w:p w:rsidR="0005616B" w:rsidRDefault="0005616B" w:rsidP="00175C63">
      <w:pPr>
        <w:pStyle w:val="Titre3"/>
        <w:numPr>
          <w:ilvl w:val="0"/>
          <w:numId w:val="6"/>
        </w:numPr>
      </w:pPr>
      <w:bookmarkStart w:id="27" w:name="_Ref494384543"/>
      <w:r w:rsidRPr="00BF387B">
        <w:t>R1-1715555</w:t>
      </w:r>
      <w:r>
        <w:t xml:space="preserve">, </w:t>
      </w:r>
      <w:r w:rsidRPr="00BF387B">
        <w:t>UL diversity transmission for DFTsOFDM</w:t>
      </w:r>
      <w:r>
        <w:t xml:space="preserve">, </w:t>
      </w:r>
      <w:r w:rsidRPr="00BF387B">
        <w:t>Mitsubishi Electric</w:t>
      </w:r>
      <w:r>
        <w:t>, RAN1 NR AH#03, Nagoya, September 2017.</w:t>
      </w:r>
      <w:bookmarkEnd w:id="27"/>
    </w:p>
    <w:p w:rsidR="003D19BD" w:rsidRDefault="0005616B" w:rsidP="00175C63">
      <w:pPr>
        <w:pStyle w:val="Titre3"/>
        <w:numPr>
          <w:ilvl w:val="0"/>
          <w:numId w:val="6"/>
        </w:numPr>
      </w:pPr>
      <w:bookmarkStart w:id="28" w:name="_Ref494384545"/>
      <w:r>
        <w:t xml:space="preserve">R1-1716237, </w:t>
      </w:r>
      <w:r w:rsidRPr="00BF387B">
        <w:t>Transmit diversity for DFTsOF</w:t>
      </w:r>
      <w:r>
        <w:t xml:space="preserve">DM-based PUCCH in long duration, </w:t>
      </w:r>
      <w:r w:rsidRPr="00BF387B">
        <w:t>Mitsubishi Electric RCE</w:t>
      </w:r>
      <w:r>
        <w:t>, RAN1 NR AH#03, Nagoya, September 2017</w:t>
      </w:r>
      <w:r w:rsidR="003D19BD">
        <w:t>.</w:t>
      </w:r>
    </w:p>
    <w:p w:rsidR="008F73F5" w:rsidRDefault="003D19BD" w:rsidP="00175C63">
      <w:pPr>
        <w:pStyle w:val="Titre3"/>
        <w:numPr>
          <w:ilvl w:val="0"/>
          <w:numId w:val="6"/>
        </w:numPr>
      </w:pPr>
      <w:bookmarkStart w:id="29" w:name="_Ref498720732"/>
      <w:r w:rsidRPr="003D19BD">
        <w:t>R1-1713389, On UL divers</w:t>
      </w:r>
      <w:r w:rsidR="00BA31A1">
        <w:t>ity transmission scheme,</w:t>
      </w:r>
      <w:r>
        <w:t xml:space="preserve"> RAN1#90, Prague, August 2017</w:t>
      </w:r>
      <w:r w:rsidR="008F73F5">
        <w:t>.</w:t>
      </w:r>
    </w:p>
    <w:p w:rsidR="0005616B" w:rsidRDefault="008F73F5" w:rsidP="008F73F5">
      <w:pPr>
        <w:pStyle w:val="Titre3"/>
        <w:numPr>
          <w:ilvl w:val="0"/>
          <w:numId w:val="6"/>
        </w:numPr>
      </w:pPr>
      <w:bookmarkStart w:id="30" w:name="_Ref510627447"/>
      <w:r>
        <w:t xml:space="preserve">R1-1801310, </w:t>
      </w:r>
      <w:r w:rsidRPr="008F73F5">
        <w:t>LS reply on transmit diversity</w:t>
      </w:r>
      <w:r>
        <w:t xml:space="preserve"> impact on V2X PC5, RAN4, Intel, Athens, Greece, February 2018</w:t>
      </w:r>
      <w:r w:rsidR="0005616B">
        <w:t>.</w:t>
      </w:r>
      <w:bookmarkEnd w:id="23"/>
      <w:bookmarkEnd w:id="24"/>
      <w:bookmarkEnd w:id="28"/>
      <w:bookmarkEnd w:id="29"/>
      <w:bookmarkEnd w:id="30"/>
    </w:p>
    <w:p w:rsidR="0005616B" w:rsidRPr="0073662B" w:rsidRDefault="0005616B" w:rsidP="00401D41"/>
    <w:p w:rsidR="0049738E" w:rsidRPr="0073662B" w:rsidRDefault="0049738E">
      <w:pPr>
        <w:spacing w:after="0"/>
        <w:jc w:val="left"/>
      </w:pPr>
      <w:r w:rsidRPr="0073662B">
        <w:br w:type="page"/>
      </w:r>
    </w:p>
    <w:p w:rsidR="00160C37" w:rsidRPr="009D3989" w:rsidRDefault="00160C37" w:rsidP="001B502C">
      <w:pPr>
        <w:pStyle w:val="Titre1"/>
      </w:pPr>
      <w:r w:rsidRPr="009D3989">
        <w:lastRenderedPageBreak/>
        <w:t>Annex</w:t>
      </w:r>
      <w:r w:rsidR="0049738E" w:rsidRPr="009D3989">
        <w:t xml:space="preserve"> B</w:t>
      </w:r>
      <w:r w:rsidRPr="009D3989">
        <w:t>: Simulation parameters</w:t>
      </w:r>
      <w:r w:rsidR="001557DF" w:rsidRPr="009D3989">
        <w:t xml:space="preserve"> </w:t>
      </w:r>
    </w:p>
    <w:p w:rsidR="00160C37" w:rsidRPr="009D3989" w:rsidRDefault="00160C37" w:rsidP="00160C37"/>
    <w:tbl>
      <w:tblPr>
        <w:tblW w:w="10055" w:type="dxa"/>
        <w:tblCellMar>
          <w:left w:w="0" w:type="dxa"/>
          <w:right w:w="0" w:type="dxa"/>
        </w:tblCellMar>
        <w:tblLook w:val="04A0" w:firstRow="1" w:lastRow="0" w:firstColumn="1" w:lastColumn="0" w:noHBand="0" w:noVBand="1"/>
      </w:tblPr>
      <w:tblGrid>
        <w:gridCol w:w="2400"/>
        <w:gridCol w:w="2551"/>
        <w:gridCol w:w="2552"/>
        <w:gridCol w:w="2552"/>
      </w:tblGrid>
      <w:tr w:rsidR="00E278CF" w:rsidRPr="009D3989" w:rsidTr="00E278CF">
        <w:trPr>
          <w:trHeight w:val="345"/>
        </w:trPr>
        <w:tc>
          <w:tcPr>
            <w:tcW w:w="2400"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9D3989" w:rsidRDefault="00E278CF" w:rsidP="00A47724">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FFFFFF"/>
                <w:kern w:val="2"/>
                <w:sz w:val="22"/>
                <w:szCs w:val="22"/>
              </w:rPr>
              <w:t>Assumptions ,</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E278CF" w:rsidRPr="009D3989" w:rsidRDefault="00E278CF" w:rsidP="00A47724">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FFFFFF"/>
                <w:kern w:val="2"/>
                <w:sz w:val="22"/>
                <w:szCs w:val="22"/>
              </w:rPr>
              <w:t>Value</w:t>
            </w:r>
            <w:r w:rsidRPr="009D3989">
              <w:rPr>
                <w:rFonts w:ascii="Times New Roman" w:hAnsi="Times New Roman" w:cs="Times New Roman"/>
                <w:color w:val="000000"/>
                <w:kern w:val="24"/>
                <w:sz w:val="22"/>
                <w:szCs w:val="22"/>
              </w:rPr>
              <w:t xml:space="preserve"> </w:t>
            </w:r>
          </w:p>
        </w:tc>
      </w:tr>
      <w:tr w:rsidR="00E278CF" w:rsidRPr="009D3989" w:rsidTr="00E278CF">
        <w:trPr>
          <w:trHeight w:val="420"/>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Carrier frequency</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603E6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6 GHz</w:t>
            </w:r>
          </w:p>
        </w:tc>
      </w:tr>
      <w:tr w:rsidR="00E278CF" w:rsidRPr="009D3989" w:rsidTr="00E278CF">
        <w:trPr>
          <w:trHeight w:val="352"/>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E278CF" w:rsidRPr="009D3989" w:rsidRDefault="00E278CF" w:rsidP="00603E6F">
            <w:pPr>
              <w:spacing w:before="60" w:after="60"/>
              <w:ind w:firstLine="110"/>
              <w:rPr>
                <w:rFonts w:eastAsia="Times New Roman"/>
                <w:sz w:val="22"/>
                <w:szCs w:val="22"/>
                <w:lang w:val="fr-FR" w:eastAsia="fr-FR"/>
              </w:rPr>
            </w:pPr>
            <w:r w:rsidRPr="009D3989">
              <w:rPr>
                <w:rFonts w:eastAsia="SimSun"/>
                <w:b/>
                <w:bCs/>
                <w:color w:val="000000"/>
                <w:kern w:val="2"/>
                <w:sz w:val="22"/>
                <w:szCs w:val="22"/>
                <w:lang w:eastAsia="fr-FR"/>
              </w:rPr>
              <w:t xml:space="preserve">Number of antennas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E278CF">
            <w:pPr>
              <w:spacing w:before="60" w:after="60"/>
              <w:jc w:val="center"/>
              <w:rPr>
                <w:rFonts w:eastAsia="Times New Roman"/>
                <w:sz w:val="22"/>
                <w:szCs w:val="22"/>
                <w:lang w:eastAsia="fr-FR"/>
              </w:rPr>
            </w:pPr>
            <w:r w:rsidRPr="009D3989">
              <w:rPr>
                <w:rFonts w:eastAsia="Times New Roman"/>
                <w:sz w:val="22"/>
                <w:szCs w:val="22"/>
                <w:lang w:eastAsia="fr-FR"/>
              </w:rPr>
              <w:t>2x2</w:t>
            </w:r>
          </w:p>
        </w:tc>
      </w:tr>
      <w:tr w:rsidR="00E278CF" w:rsidRPr="009D3989" w:rsidTr="00E278CF">
        <w:trPr>
          <w:trHeight w:val="39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 xml:space="preserve">Numerology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3C7581" w:rsidP="007C139C">
            <w:pPr>
              <w:pStyle w:val="NormalWeb"/>
              <w:overflowPunct w:val="0"/>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BW=10MHz, N</w:t>
            </w:r>
            <w:r w:rsidR="007C139C" w:rsidRPr="009D3989">
              <w:rPr>
                <w:rFonts w:ascii="Times New Roman" w:hAnsi="Times New Roman" w:cs="Times New Roman"/>
                <w:sz w:val="22"/>
                <w:szCs w:val="22"/>
              </w:rPr>
              <w:t>_</w:t>
            </w:r>
            <w:r w:rsidRPr="009D3989">
              <w:rPr>
                <w:rFonts w:ascii="Times New Roman" w:hAnsi="Times New Roman" w:cs="Times New Roman"/>
                <w:sz w:val="22"/>
                <w:szCs w:val="22"/>
              </w:rPr>
              <w:t xml:space="preserve">FFT=1024, </w:t>
            </w:r>
            <w:r w:rsidR="007C139C" w:rsidRPr="009D3989">
              <w:rPr>
                <w:rFonts w:ascii="Calibri" w:hAnsi="Calibri" w:cs="Times New Roman"/>
                <w:sz w:val="22"/>
                <w:szCs w:val="22"/>
              </w:rPr>
              <w:t>Δ</w:t>
            </w:r>
            <w:r w:rsidRPr="009D3989">
              <w:rPr>
                <w:rFonts w:ascii="Times New Roman" w:hAnsi="Times New Roman" w:cs="Times New Roman"/>
                <w:sz w:val="22"/>
                <w:szCs w:val="22"/>
              </w:rPr>
              <w:t>f=15kHz, Fs=15.36MHz</w:t>
            </w:r>
          </w:p>
        </w:tc>
      </w:tr>
      <w:tr w:rsidR="00F20A97" w:rsidRPr="009D3989" w:rsidTr="003D19BD">
        <w:trPr>
          <w:trHeight w:val="588"/>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20A97" w:rsidRPr="009D3989" w:rsidRDefault="00F20A97"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Payload</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190 bytes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300 bytes</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Pr="009D3989"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800 bytes</w:t>
            </w:r>
          </w:p>
        </w:tc>
      </w:tr>
      <w:tr w:rsidR="00F20A97" w:rsidRPr="009D3989" w:rsidTr="003D19BD">
        <w:trPr>
          <w:trHeight w:val="47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20A97" w:rsidRPr="009D3989" w:rsidRDefault="00F20A97" w:rsidP="00E278C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MCS /allocation</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17" w:type="dxa"/>
              <w:left w:w="108" w:type="dxa"/>
              <w:bottom w:w="0" w:type="dxa"/>
              <w:right w:w="108" w:type="dxa"/>
            </w:tcMar>
            <w:vAlign w:val="center"/>
          </w:tcPr>
          <w:p w:rsidR="00F20A97"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QPSK ½ - 10RB</w:t>
            </w:r>
          </w:p>
          <w:p w:rsidR="00AE4969" w:rsidRPr="009D3989" w:rsidRDefault="00AE4969"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QPSK ¾ - 6RB</w:t>
            </w:r>
          </w:p>
          <w:p w:rsidR="00F20A97" w:rsidRDefault="00F20A97" w:rsidP="00E278CF">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16QAM ½ - 5RB</w:t>
            </w:r>
          </w:p>
          <w:p w:rsidR="00AE4969" w:rsidRDefault="00AE4969"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16QAM ¾ - 3RB</w:t>
            </w:r>
          </w:p>
          <w:p w:rsidR="00D00384" w:rsidRPr="009D3989" w:rsidRDefault="00D00384" w:rsidP="00E278CF">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64QAM ½ - 3RB</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QPSK ½ - 16RB</w:t>
            </w:r>
          </w:p>
          <w:p w:rsidR="00AE4969" w:rsidRPr="009D3989" w:rsidRDefault="00AE4969"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QPSK ¾ - 10RB</w:t>
            </w:r>
          </w:p>
          <w:p w:rsidR="00F20A97"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16QAM ½ - 8RB</w:t>
            </w:r>
          </w:p>
          <w:p w:rsidR="00AE4969" w:rsidRDefault="00AE4969"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16QAM ¾ - 5RB</w:t>
            </w:r>
          </w:p>
          <w:p w:rsidR="00D00384" w:rsidRPr="009D3989" w:rsidRDefault="00D00384"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64QAM ½ - 5RB</w:t>
            </w:r>
          </w:p>
        </w:tc>
        <w:tc>
          <w:tcPr>
            <w:tcW w:w="25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20A97"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QPSK ½ - 44RB</w:t>
            </w:r>
          </w:p>
          <w:p w:rsidR="00AE4969" w:rsidRPr="009D3989" w:rsidRDefault="00AE4969"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QPSK ¾ - 30RB</w:t>
            </w:r>
          </w:p>
          <w:p w:rsidR="00F20A97" w:rsidRDefault="00F20A97" w:rsidP="00F20A97">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16QAM ½ - 22RB</w:t>
            </w:r>
          </w:p>
          <w:p w:rsidR="00AE4969" w:rsidRDefault="00AE4969" w:rsidP="00F20A97">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16QAM ¾ - 15RB</w:t>
            </w:r>
          </w:p>
          <w:p w:rsidR="00D00384" w:rsidRPr="009D3989" w:rsidRDefault="00D00384" w:rsidP="00D00384">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64QAM ½ - 15RB</w:t>
            </w:r>
          </w:p>
        </w:tc>
      </w:tr>
      <w:tr w:rsidR="00E278CF" w:rsidRPr="009D3989" w:rsidTr="00E278CF">
        <w:trPr>
          <w:trHeight w:val="33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Channel coding</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color w:val="000000"/>
                <w:kern w:val="2"/>
                <w:sz w:val="22"/>
                <w:szCs w:val="22"/>
                <w:lang w:val="pt-BR"/>
              </w:rPr>
              <w:t>LTE Turbo code</w:t>
            </w:r>
          </w:p>
        </w:tc>
      </w:tr>
      <w:tr w:rsidR="00E278CF" w:rsidRPr="009D3989" w:rsidTr="00E278CF">
        <w:trPr>
          <w:trHeight w:val="445"/>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HPA</w:t>
            </w:r>
            <w:r w:rsidRPr="009D3989">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9D3989" w:rsidRDefault="00E278CF" w:rsidP="007C139C">
            <w:pPr>
              <w:pStyle w:val="NormalWeb"/>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color w:val="000000"/>
                <w:kern w:val="2"/>
                <w:sz w:val="22"/>
                <w:szCs w:val="22"/>
              </w:rPr>
              <w:t xml:space="preserve">Rapp model, </w:t>
            </w:r>
            <w:r w:rsidRPr="009D3989">
              <w:rPr>
                <w:rFonts w:ascii="Times New Roman" w:hAnsi="Times New Roman" w:cs="Times New Roman"/>
                <w:sz w:val="20"/>
                <w:szCs w:val="20"/>
              </w:rPr>
              <w:t>, IBO=-11.6dB</w:t>
            </w:r>
          </w:p>
        </w:tc>
      </w:tr>
      <w:tr w:rsidR="00E278CF" w:rsidRPr="0073662B" w:rsidTr="00E278CF">
        <w:trPr>
          <w:trHeight w:val="473"/>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9D3989" w:rsidRDefault="00E278CF" w:rsidP="00603E6F">
            <w:pPr>
              <w:pStyle w:val="NormalWeb"/>
              <w:spacing w:before="0" w:beforeAutospacing="0" w:after="0" w:afterAutospacing="0"/>
              <w:ind w:firstLine="110"/>
              <w:rPr>
                <w:rFonts w:ascii="Times New Roman" w:hAnsi="Times New Roman" w:cs="Times New Roman"/>
                <w:sz w:val="22"/>
                <w:szCs w:val="22"/>
              </w:rPr>
            </w:pPr>
            <w:r w:rsidRPr="009D3989">
              <w:rPr>
                <w:rFonts w:ascii="Times New Roman" w:hAnsi="Times New Roman" w:cs="Times New Roman"/>
                <w:b/>
                <w:bCs/>
                <w:color w:val="000000"/>
                <w:kern w:val="2"/>
                <w:sz w:val="22"/>
                <w:szCs w:val="22"/>
              </w:rPr>
              <w:t xml:space="preserve">Channel estimation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E278CF" w:rsidP="008905A7">
            <w:pPr>
              <w:pStyle w:val="NormalWeb"/>
              <w:overflowPunct w:val="0"/>
              <w:spacing w:before="0" w:beforeAutospacing="0" w:after="0" w:afterAutospacing="0"/>
              <w:ind w:firstLine="110"/>
              <w:jc w:val="center"/>
              <w:rPr>
                <w:rFonts w:ascii="Times New Roman" w:hAnsi="Times New Roman" w:cs="Times New Roman"/>
                <w:sz w:val="22"/>
                <w:szCs w:val="22"/>
              </w:rPr>
            </w:pPr>
            <w:r w:rsidRPr="009D3989">
              <w:rPr>
                <w:rFonts w:ascii="Times New Roman" w:hAnsi="Times New Roman" w:cs="Times New Roman"/>
                <w:sz w:val="22"/>
                <w:szCs w:val="22"/>
              </w:rPr>
              <w:t xml:space="preserve">Realistic, LTE </w:t>
            </w:r>
            <w:r w:rsidR="00D00384">
              <w:rPr>
                <w:rFonts w:ascii="Times New Roman" w:hAnsi="Times New Roman" w:cs="Times New Roman"/>
                <w:sz w:val="22"/>
                <w:szCs w:val="22"/>
              </w:rPr>
              <w:t xml:space="preserve">V2X </w:t>
            </w:r>
            <w:r w:rsidRPr="009D3989">
              <w:rPr>
                <w:rFonts w:ascii="Times New Roman" w:hAnsi="Times New Roman" w:cs="Times New Roman"/>
                <w:sz w:val="22"/>
                <w:szCs w:val="22"/>
              </w:rPr>
              <w:t>pilots</w:t>
            </w:r>
            <w:r w:rsidR="00D00384">
              <w:rPr>
                <w:rFonts w:ascii="Times New Roman" w:hAnsi="Times New Roman" w:cs="Times New Roman"/>
                <w:sz w:val="22"/>
                <w:szCs w:val="22"/>
              </w:rPr>
              <w:t xml:space="preserve"> </w:t>
            </w:r>
          </w:p>
        </w:tc>
      </w:tr>
      <w:tr w:rsidR="00E278CF" w:rsidRPr="00F20A97"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278CF" w:rsidRPr="0073662B" w:rsidRDefault="00E278CF" w:rsidP="00603E6F">
            <w:pPr>
              <w:pStyle w:val="NormalWeb"/>
              <w:spacing w:before="0" w:beforeAutospacing="0" w:after="0" w:afterAutospacing="0"/>
              <w:ind w:firstLine="110"/>
              <w:rPr>
                <w:rFonts w:ascii="Times New Roman" w:hAnsi="Times New Roman" w:cs="Times New Roman"/>
                <w:sz w:val="22"/>
                <w:szCs w:val="22"/>
              </w:rPr>
            </w:pPr>
            <w:r w:rsidRPr="0073662B">
              <w:rPr>
                <w:rFonts w:ascii="Times New Roman" w:hAnsi="Times New Roman" w:cs="Times New Roman"/>
                <w:b/>
                <w:bCs/>
                <w:color w:val="000000"/>
                <w:kern w:val="2"/>
                <w:sz w:val="22"/>
                <w:szCs w:val="22"/>
              </w:rPr>
              <w:t>Channel model</w:t>
            </w:r>
            <w:r w:rsidRPr="0073662B">
              <w:rPr>
                <w:rFonts w:ascii="Times New Roman" w:hAnsi="Times New Roman" w:cs="Times New Roman"/>
                <w:color w:val="000000"/>
                <w:kern w:val="24"/>
                <w:sz w:val="22"/>
                <w:szCs w:val="22"/>
              </w:rPr>
              <w:t xml:space="preserve"> </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F20A97"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F20A97">
              <w:rPr>
                <w:rFonts w:ascii="Times New Roman" w:hAnsi="Times New Roman" w:cs="Times New Roman"/>
                <w:sz w:val="22"/>
                <w:szCs w:val="22"/>
              </w:rPr>
              <w:t>ITU UMi NLOS CDL 129ns</w:t>
            </w:r>
            <w:r w:rsidR="00F20A97" w:rsidRPr="00F20A97">
              <w:rPr>
                <w:rFonts w:ascii="Times New Roman" w:hAnsi="Times New Roman" w:cs="Times New Roman"/>
                <w:sz w:val="22"/>
                <w:szCs w:val="22"/>
              </w:rPr>
              <w:t xml:space="preserve"> with delay spread scaled to </w:t>
            </w:r>
            <w:r w:rsidR="00F20A97">
              <w:rPr>
                <w:rFonts w:ascii="Times New Roman" w:hAnsi="Times New Roman" w:cs="Times New Roman"/>
                <w:sz w:val="22"/>
                <w:szCs w:val="22"/>
              </w:rPr>
              <w:t>130ns/300ns/1000ns</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CFO</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Default="007C139C" w:rsidP="007C139C">
            <w:pPr>
              <w:rPr>
                <w:rFonts w:eastAsia="SimSun"/>
              </w:rPr>
            </w:pPr>
            <w:r>
              <w:rPr>
                <w:rFonts w:eastAsia="SimSun"/>
              </w:rPr>
              <w:t xml:space="preserve">Case 1 + Case B: </w:t>
            </w:r>
          </w:p>
          <w:p w:rsidR="007C139C" w:rsidRDefault="007C139C" w:rsidP="00175C63">
            <w:pPr>
              <w:pStyle w:val="Paragraphedeliste"/>
              <w:numPr>
                <w:ilvl w:val="0"/>
                <w:numId w:val="11"/>
              </w:numPr>
              <w:spacing w:after="200" w:line="276" w:lineRule="auto"/>
              <w:ind w:leftChars="0"/>
              <w:contextualSpacing/>
              <w:jc w:val="left"/>
              <w:rPr>
                <w:rFonts w:eastAsia="MS Mincho" w:cs="Times New Roman"/>
                <w:lang w:val="en-GB"/>
              </w:rPr>
            </w:pPr>
            <w:r w:rsidRPr="008111B1">
              <w:rPr>
                <w:rFonts w:eastAsia="MS Mincho" w:cs="Times New Roman"/>
                <w:lang w:val="en-GB"/>
              </w:rPr>
              <w:t xml:space="preserve">+0.1 PPM for TX and -0.1 PPM for RX w.r.t. UE’s sync reference. </w:t>
            </w:r>
          </w:p>
          <w:p w:rsidR="007C139C" w:rsidRPr="007C139C" w:rsidRDefault="007C139C" w:rsidP="00175C63">
            <w:pPr>
              <w:pStyle w:val="Paragraphedeliste"/>
              <w:numPr>
                <w:ilvl w:val="0"/>
                <w:numId w:val="11"/>
              </w:numPr>
              <w:spacing w:after="200" w:line="276" w:lineRule="auto"/>
              <w:ind w:leftChars="0"/>
              <w:contextualSpacing/>
              <w:jc w:val="left"/>
              <w:rPr>
                <w:rFonts w:cs="Times New Roman"/>
                <w:sz w:val="22"/>
                <w:szCs w:val="22"/>
                <w:lang w:val="en-GB"/>
              </w:rPr>
            </w:pPr>
            <w:r w:rsidRPr="008111B1">
              <w:rPr>
                <w:rFonts w:eastAsia="MS Mincho" w:cs="Times New Roman"/>
                <w:lang w:val="en-GB"/>
              </w:rPr>
              <w:t>+0.05 PPM for TX’s reference and -0.05 PPM for RX’s reference w.r.t. the absolute frequency.</w:t>
            </w:r>
          </w:p>
        </w:tc>
      </w:tr>
      <w:tr w:rsidR="00E278CF"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E278CF" w:rsidRPr="0073662B" w:rsidRDefault="007C139C" w:rsidP="00603E6F">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Speed</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E278CF" w:rsidRPr="007C139C" w:rsidRDefault="007C139C" w:rsidP="00F20A97">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15/</w:t>
            </w:r>
            <w:r w:rsidR="00F20A97">
              <w:rPr>
                <w:rFonts w:ascii="Times New Roman" w:hAnsi="Times New Roman" w:cs="Times New Roman"/>
                <w:sz w:val="22"/>
                <w:szCs w:val="22"/>
              </w:rPr>
              <w:t>60/120</w:t>
            </w:r>
            <w:r w:rsidR="008905A7">
              <w:rPr>
                <w:rFonts w:ascii="Times New Roman" w:hAnsi="Times New Roman" w:cs="Times New Roman"/>
                <w:sz w:val="22"/>
                <w:szCs w:val="22"/>
              </w:rPr>
              <w:t>/300</w:t>
            </w:r>
            <w:r w:rsidRPr="007C139C">
              <w:rPr>
                <w:rFonts w:ascii="Times New Roman" w:hAnsi="Times New Roman" w:cs="Times New Roman"/>
                <w:sz w:val="22"/>
                <w:szCs w:val="22"/>
              </w:rPr>
              <w:t xml:space="preserve"> kmph</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sidRPr="0073662B">
              <w:rPr>
                <w:rFonts w:ascii="Times New Roman" w:hAnsi="Times New Roman" w:cs="Times New Roman"/>
                <w:b/>
                <w:bCs/>
                <w:color w:val="000000"/>
                <w:kern w:val="2"/>
                <w:sz w:val="22"/>
                <w:szCs w:val="22"/>
              </w:rPr>
              <w:t>Receiver type</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7C139C" w:rsidP="007C139C">
            <w:pPr>
              <w:pStyle w:val="NormalWeb"/>
              <w:spacing w:before="0" w:beforeAutospacing="0" w:after="0" w:afterAutospacing="0"/>
              <w:ind w:firstLine="110"/>
              <w:jc w:val="center"/>
              <w:rPr>
                <w:rFonts w:ascii="Times New Roman" w:hAnsi="Times New Roman" w:cs="Times New Roman"/>
                <w:sz w:val="22"/>
                <w:szCs w:val="22"/>
              </w:rPr>
            </w:pPr>
            <w:r w:rsidRPr="007C139C">
              <w:rPr>
                <w:rFonts w:ascii="Times New Roman" w:hAnsi="Times New Roman" w:cs="Times New Roman"/>
                <w:sz w:val="22"/>
                <w:szCs w:val="22"/>
              </w:rPr>
              <w:t>L-MMSE</w:t>
            </w:r>
          </w:p>
        </w:tc>
      </w:tr>
      <w:tr w:rsidR="007C139C" w:rsidRPr="0073662B" w:rsidTr="00E278CF">
        <w:trPr>
          <w:trHeight w:val="661"/>
        </w:trPr>
        <w:tc>
          <w:tcPr>
            <w:tcW w:w="240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C139C" w:rsidRPr="0073662B" w:rsidRDefault="007C139C" w:rsidP="007C139C">
            <w:pPr>
              <w:pStyle w:val="NormalWeb"/>
              <w:spacing w:before="0" w:beforeAutospacing="0" w:after="0" w:afterAutospacing="0"/>
              <w:ind w:firstLine="110"/>
              <w:rPr>
                <w:rFonts w:ascii="Times New Roman" w:hAnsi="Times New Roman" w:cs="Times New Roman"/>
                <w:b/>
                <w:bCs/>
                <w:color w:val="000000"/>
                <w:kern w:val="2"/>
                <w:sz w:val="22"/>
                <w:szCs w:val="22"/>
              </w:rPr>
            </w:pPr>
            <w:r>
              <w:rPr>
                <w:rFonts w:ascii="Times New Roman" w:hAnsi="Times New Roman" w:cs="Times New Roman"/>
                <w:b/>
                <w:bCs/>
                <w:color w:val="000000"/>
                <w:kern w:val="2"/>
                <w:sz w:val="22"/>
                <w:szCs w:val="22"/>
              </w:rPr>
              <w:t>SD-</w:t>
            </w:r>
            <w:r w:rsidRPr="0073662B">
              <w:rPr>
                <w:rFonts w:ascii="Times New Roman" w:hAnsi="Times New Roman" w:cs="Times New Roman"/>
                <w:b/>
                <w:bCs/>
                <w:color w:val="000000"/>
                <w:kern w:val="2"/>
                <w:sz w:val="22"/>
                <w:szCs w:val="22"/>
              </w:rPr>
              <w:t>CDD delay</w:t>
            </w:r>
          </w:p>
        </w:tc>
        <w:tc>
          <w:tcPr>
            <w:tcW w:w="7655" w:type="dxa"/>
            <w:gridSpan w:val="3"/>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7C139C" w:rsidRPr="007C139C" w:rsidRDefault="008905A7" w:rsidP="007C139C">
            <w:pPr>
              <w:pStyle w:val="NormalWeb"/>
              <w:spacing w:before="0" w:beforeAutospacing="0" w:after="0" w:afterAutospacing="0"/>
              <w:ind w:firstLine="110"/>
              <w:jc w:val="center"/>
              <w:rPr>
                <w:rFonts w:ascii="Times New Roman" w:hAnsi="Times New Roman" w:cs="Times New Roman"/>
                <w:sz w:val="22"/>
                <w:szCs w:val="22"/>
              </w:rPr>
            </w:pPr>
            <w:r>
              <w:rPr>
                <w:rFonts w:ascii="Times New Roman" w:hAnsi="Times New Roman" w:cs="Times New Roman"/>
                <w:sz w:val="22"/>
                <w:szCs w:val="22"/>
              </w:rPr>
              <w:t>{</w:t>
            </w:r>
            <w:r w:rsidR="007C139C" w:rsidRPr="007C139C">
              <w:rPr>
                <w:rFonts w:ascii="Times New Roman" w:hAnsi="Times New Roman" w:cs="Times New Roman"/>
                <w:sz w:val="22"/>
                <w:szCs w:val="22"/>
              </w:rPr>
              <w:t>2</w:t>
            </w:r>
            <w:r w:rsidR="00C045F5">
              <w:rPr>
                <w:rFonts w:ascii="Times New Roman" w:hAnsi="Times New Roman" w:cs="Times New Roman"/>
                <w:sz w:val="22"/>
                <w:szCs w:val="22"/>
              </w:rPr>
              <w:t>, 4, 8, 16, 32, 64</w:t>
            </w:r>
            <w:r>
              <w:rPr>
                <w:rFonts w:ascii="Times New Roman" w:hAnsi="Times New Roman" w:cs="Times New Roman"/>
                <w:sz w:val="22"/>
                <w:szCs w:val="22"/>
              </w:rPr>
              <w:t>}</w:t>
            </w:r>
            <w:r w:rsidR="007C139C" w:rsidRPr="007C139C">
              <w:rPr>
                <w:rFonts w:ascii="Times New Roman" w:hAnsi="Times New Roman" w:cs="Times New Roman"/>
                <w:sz w:val="22"/>
                <w:szCs w:val="22"/>
              </w:rPr>
              <w:t xml:space="preserve"> samples</w:t>
            </w:r>
          </w:p>
        </w:tc>
      </w:tr>
    </w:tbl>
    <w:p w:rsidR="0049738E" w:rsidRPr="0073662B" w:rsidRDefault="0049738E" w:rsidP="00160C37">
      <w:bookmarkStart w:id="31" w:name="_GoBack"/>
      <w:bookmarkEnd w:id="31"/>
    </w:p>
    <w:sectPr w:rsidR="0049738E" w:rsidRPr="0073662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062" w:rsidRDefault="00242062" w:rsidP="00A81622">
      <w:r>
        <w:separator/>
      </w:r>
    </w:p>
  </w:endnote>
  <w:endnote w:type="continuationSeparator" w:id="0">
    <w:p w:rsidR="00242062" w:rsidRDefault="00242062" w:rsidP="00A81622">
      <w:r>
        <w:continuationSeparator/>
      </w:r>
    </w:p>
  </w:endnote>
  <w:endnote w:type="continuationNotice" w:id="1">
    <w:p w:rsidR="00242062" w:rsidRDefault="0024206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062" w:rsidRDefault="00242062" w:rsidP="00A81622">
      <w:r>
        <w:separator/>
      </w:r>
    </w:p>
  </w:footnote>
  <w:footnote w:type="continuationSeparator" w:id="0">
    <w:p w:rsidR="00242062" w:rsidRDefault="00242062" w:rsidP="00A81622">
      <w:r>
        <w:continuationSeparator/>
      </w:r>
    </w:p>
  </w:footnote>
  <w:footnote w:type="continuationNotice" w:id="1">
    <w:p w:rsidR="00242062" w:rsidRDefault="00242062"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3D4BC5"/>
    <w:multiLevelType w:val="hybridMultilevel"/>
    <w:tmpl w:val="8D126C94"/>
    <w:lvl w:ilvl="0" w:tplc="7FDC7A12">
      <w:start w:val="4"/>
      <w:numFmt w:val="bullet"/>
      <w:lvlText w:val="-"/>
      <w:lvlJc w:val="left"/>
      <w:pPr>
        <w:ind w:left="1069" w:hanging="360"/>
      </w:pPr>
      <w:rPr>
        <w:rFonts w:ascii="Times New Roman" w:eastAsia="MS Gothic" w:hAnsi="Times New Roman" w:cs="Times New Roman" w:hint="default"/>
        <w:i/>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0160EB"/>
    <w:multiLevelType w:val="hybridMultilevel"/>
    <w:tmpl w:val="4BD6E52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18185A"/>
    <w:multiLevelType w:val="hybridMultilevel"/>
    <w:tmpl w:val="C65A27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23715E4"/>
    <w:multiLevelType w:val="hybridMultilevel"/>
    <w:tmpl w:val="1930C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6C473E40"/>
    <w:multiLevelType w:val="hybridMultilevel"/>
    <w:tmpl w:val="C786FFD6"/>
    <w:lvl w:ilvl="0" w:tplc="752C87D4">
      <w:start w:val="1"/>
      <w:numFmt w:val="bullet"/>
      <w:lvlText w:val="•"/>
      <w:lvlJc w:val="left"/>
      <w:pPr>
        <w:tabs>
          <w:tab w:val="num" w:pos="1080"/>
        </w:tabs>
        <w:ind w:left="1080" w:hanging="360"/>
      </w:pPr>
      <w:rPr>
        <w:rFonts w:ascii="Arial" w:hAnsi="Arial" w:cs="Times New Roman" w:hint="default"/>
      </w:rPr>
    </w:lvl>
    <w:lvl w:ilvl="1" w:tplc="3530ED92">
      <w:numFmt w:val="bullet"/>
      <w:lvlText w:val="–"/>
      <w:lvlJc w:val="left"/>
      <w:pPr>
        <w:tabs>
          <w:tab w:val="num" w:pos="1800"/>
        </w:tabs>
        <w:ind w:left="1800" w:hanging="360"/>
      </w:pPr>
      <w:rPr>
        <w:rFonts w:ascii="Arial" w:hAnsi="Arial" w:cs="Times New Roman" w:hint="default"/>
      </w:rPr>
    </w:lvl>
    <w:lvl w:ilvl="2" w:tplc="BB3A501A">
      <w:start w:val="1"/>
      <w:numFmt w:val="bullet"/>
      <w:lvlText w:val="•"/>
      <w:lvlJc w:val="left"/>
      <w:pPr>
        <w:tabs>
          <w:tab w:val="num" w:pos="2520"/>
        </w:tabs>
        <w:ind w:left="2520" w:hanging="360"/>
      </w:pPr>
      <w:rPr>
        <w:rFonts w:ascii="Arial" w:hAnsi="Arial" w:cs="Times New Roman" w:hint="default"/>
      </w:rPr>
    </w:lvl>
    <w:lvl w:ilvl="3" w:tplc="59A68F38">
      <w:start w:val="1"/>
      <w:numFmt w:val="bullet"/>
      <w:lvlText w:val="•"/>
      <w:lvlJc w:val="left"/>
      <w:pPr>
        <w:tabs>
          <w:tab w:val="num" w:pos="3240"/>
        </w:tabs>
        <w:ind w:left="3240" w:hanging="360"/>
      </w:pPr>
      <w:rPr>
        <w:rFonts w:ascii="Arial" w:hAnsi="Arial" w:cs="Times New Roman" w:hint="default"/>
      </w:rPr>
    </w:lvl>
    <w:lvl w:ilvl="4" w:tplc="CD68B4FE">
      <w:start w:val="1"/>
      <w:numFmt w:val="bullet"/>
      <w:lvlText w:val="•"/>
      <w:lvlJc w:val="left"/>
      <w:pPr>
        <w:tabs>
          <w:tab w:val="num" w:pos="3960"/>
        </w:tabs>
        <w:ind w:left="3960" w:hanging="360"/>
      </w:pPr>
      <w:rPr>
        <w:rFonts w:ascii="Arial" w:hAnsi="Arial" w:cs="Times New Roman" w:hint="default"/>
      </w:rPr>
    </w:lvl>
    <w:lvl w:ilvl="5" w:tplc="09AC630E">
      <w:start w:val="1"/>
      <w:numFmt w:val="bullet"/>
      <w:lvlText w:val="•"/>
      <w:lvlJc w:val="left"/>
      <w:pPr>
        <w:tabs>
          <w:tab w:val="num" w:pos="4680"/>
        </w:tabs>
        <w:ind w:left="4680" w:hanging="360"/>
      </w:pPr>
      <w:rPr>
        <w:rFonts w:ascii="Arial" w:hAnsi="Arial" w:cs="Times New Roman" w:hint="default"/>
      </w:rPr>
    </w:lvl>
    <w:lvl w:ilvl="6" w:tplc="831AF21C">
      <w:start w:val="1"/>
      <w:numFmt w:val="bullet"/>
      <w:lvlText w:val="•"/>
      <w:lvlJc w:val="left"/>
      <w:pPr>
        <w:tabs>
          <w:tab w:val="num" w:pos="5400"/>
        </w:tabs>
        <w:ind w:left="5400" w:hanging="360"/>
      </w:pPr>
      <w:rPr>
        <w:rFonts w:ascii="Arial" w:hAnsi="Arial" w:cs="Times New Roman" w:hint="default"/>
      </w:rPr>
    </w:lvl>
    <w:lvl w:ilvl="7" w:tplc="9CE0ABFE">
      <w:start w:val="1"/>
      <w:numFmt w:val="bullet"/>
      <w:lvlText w:val="•"/>
      <w:lvlJc w:val="left"/>
      <w:pPr>
        <w:tabs>
          <w:tab w:val="num" w:pos="6120"/>
        </w:tabs>
        <w:ind w:left="6120" w:hanging="360"/>
      </w:pPr>
      <w:rPr>
        <w:rFonts w:ascii="Arial" w:hAnsi="Arial" w:cs="Times New Roman" w:hint="default"/>
      </w:rPr>
    </w:lvl>
    <w:lvl w:ilvl="8" w:tplc="AD5063F4">
      <w:start w:val="1"/>
      <w:numFmt w:val="bullet"/>
      <w:lvlText w:val="•"/>
      <w:lvlJc w:val="left"/>
      <w:pPr>
        <w:tabs>
          <w:tab w:val="num" w:pos="6840"/>
        </w:tabs>
        <w:ind w:left="6840" w:hanging="360"/>
      </w:pPr>
      <w:rPr>
        <w:rFonts w:ascii="Arial" w:hAnsi="Arial" w:cs="Times New Roman" w:hint="default"/>
      </w:rPr>
    </w:lvl>
  </w:abstractNum>
  <w:abstractNum w:abstractNumId="1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3"/>
  </w:num>
  <w:num w:numId="5">
    <w:abstractNumId w:val="12"/>
  </w:num>
  <w:num w:numId="6">
    <w:abstractNumId w:val="2"/>
  </w:num>
  <w:num w:numId="7">
    <w:abstractNumId w:val="7"/>
  </w:num>
  <w:num w:numId="8">
    <w:abstractNumId w:val="1"/>
  </w:num>
  <w:num w:numId="9">
    <w:abstractNumId w:val="6"/>
  </w:num>
  <w:num w:numId="10">
    <w:abstractNumId w:val="5"/>
  </w:num>
  <w:num w:numId="11">
    <w:abstractNumId w:val="8"/>
  </w:num>
  <w:num w:numId="12">
    <w:abstractNumId w:val="4"/>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1FB"/>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5D5E"/>
    <w:rsid w:val="00016423"/>
    <w:rsid w:val="000168BD"/>
    <w:rsid w:val="000169BB"/>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16B"/>
    <w:rsid w:val="0005625A"/>
    <w:rsid w:val="00056FAC"/>
    <w:rsid w:val="0006093F"/>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2207"/>
    <w:rsid w:val="00073B87"/>
    <w:rsid w:val="00075BD6"/>
    <w:rsid w:val="000766A5"/>
    <w:rsid w:val="00077AFB"/>
    <w:rsid w:val="00080237"/>
    <w:rsid w:val="000804DC"/>
    <w:rsid w:val="00080661"/>
    <w:rsid w:val="0008099E"/>
    <w:rsid w:val="000813DF"/>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6D74"/>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23C"/>
    <w:rsid w:val="000C1793"/>
    <w:rsid w:val="000C2088"/>
    <w:rsid w:val="000C26DF"/>
    <w:rsid w:val="000C2C6D"/>
    <w:rsid w:val="000C3933"/>
    <w:rsid w:val="000C3F67"/>
    <w:rsid w:val="000C44B0"/>
    <w:rsid w:val="000C4838"/>
    <w:rsid w:val="000C5723"/>
    <w:rsid w:val="000C6405"/>
    <w:rsid w:val="000D0A1A"/>
    <w:rsid w:val="000D16BE"/>
    <w:rsid w:val="000D189C"/>
    <w:rsid w:val="000D1EFE"/>
    <w:rsid w:val="000D2AB6"/>
    <w:rsid w:val="000D3410"/>
    <w:rsid w:val="000D46A3"/>
    <w:rsid w:val="000D4B39"/>
    <w:rsid w:val="000D5010"/>
    <w:rsid w:val="000D529F"/>
    <w:rsid w:val="000D52C0"/>
    <w:rsid w:val="000D5E90"/>
    <w:rsid w:val="000D65BE"/>
    <w:rsid w:val="000D662C"/>
    <w:rsid w:val="000D6FE3"/>
    <w:rsid w:val="000D7199"/>
    <w:rsid w:val="000D7509"/>
    <w:rsid w:val="000D7ABD"/>
    <w:rsid w:val="000E03BA"/>
    <w:rsid w:val="000E041D"/>
    <w:rsid w:val="000E0435"/>
    <w:rsid w:val="000E11E0"/>
    <w:rsid w:val="000E160A"/>
    <w:rsid w:val="000E1BB9"/>
    <w:rsid w:val="000E1BEB"/>
    <w:rsid w:val="000E21AB"/>
    <w:rsid w:val="000E2247"/>
    <w:rsid w:val="000E34D8"/>
    <w:rsid w:val="000E57C1"/>
    <w:rsid w:val="000E5E92"/>
    <w:rsid w:val="000E6280"/>
    <w:rsid w:val="000E658F"/>
    <w:rsid w:val="000E73D3"/>
    <w:rsid w:val="000F10A7"/>
    <w:rsid w:val="000F10AE"/>
    <w:rsid w:val="000F13A2"/>
    <w:rsid w:val="000F2286"/>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2F8"/>
    <w:rsid w:val="00101C06"/>
    <w:rsid w:val="00102BD3"/>
    <w:rsid w:val="00102E6E"/>
    <w:rsid w:val="00102F45"/>
    <w:rsid w:val="00103100"/>
    <w:rsid w:val="00103418"/>
    <w:rsid w:val="0010381B"/>
    <w:rsid w:val="00103BA8"/>
    <w:rsid w:val="00103FCF"/>
    <w:rsid w:val="00105152"/>
    <w:rsid w:val="00105249"/>
    <w:rsid w:val="00105944"/>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C83"/>
    <w:rsid w:val="00123401"/>
    <w:rsid w:val="00123453"/>
    <w:rsid w:val="00123497"/>
    <w:rsid w:val="00124438"/>
    <w:rsid w:val="001252F6"/>
    <w:rsid w:val="00125A47"/>
    <w:rsid w:val="0012649E"/>
    <w:rsid w:val="00130553"/>
    <w:rsid w:val="00130FBE"/>
    <w:rsid w:val="001310A8"/>
    <w:rsid w:val="0013159F"/>
    <w:rsid w:val="001333E6"/>
    <w:rsid w:val="0013347E"/>
    <w:rsid w:val="001336FF"/>
    <w:rsid w:val="001344C5"/>
    <w:rsid w:val="00135BA8"/>
    <w:rsid w:val="00137178"/>
    <w:rsid w:val="0013791B"/>
    <w:rsid w:val="00137C80"/>
    <w:rsid w:val="00141012"/>
    <w:rsid w:val="0014307B"/>
    <w:rsid w:val="001437F5"/>
    <w:rsid w:val="001439B6"/>
    <w:rsid w:val="00144159"/>
    <w:rsid w:val="001443F7"/>
    <w:rsid w:val="0014460F"/>
    <w:rsid w:val="00144805"/>
    <w:rsid w:val="00145316"/>
    <w:rsid w:val="00145771"/>
    <w:rsid w:val="00146295"/>
    <w:rsid w:val="00150012"/>
    <w:rsid w:val="0015001C"/>
    <w:rsid w:val="001507AC"/>
    <w:rsid w:val="00150EAE"/>
    <w:rsid w:val="00150EE4"/>
    <w:rsid w:val="001513C2"/>
    <w:rsid w:val="00151984"/>
    <w:rsid w:val="00151D10"/>
    <w:rsid w:val="00151F3A"/>
    <w:rsid w:val="00152772"/>
    <w:rsid w:val="00152CC3"/>
    <w:rsid w:val="00153A9E"/>
    <w:rsid w:val="001550A0"/>
    <w:rsid w:val="001552B9"/>
    <w:rsid w:val="001557DF"/>
    <w:rsid w:val="00155C60"/>
    <w:rsid w:val="00157039"/>
    <w:rsid w:val="00160772"/>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5C63"/>
    <w:rsid w:val="001772D2"/>
    <w:rsid w:val="00177419"/>
    <w:rsid w:val="00180451"/>
    <w:rsid w:val="00180B5A"/>
    <w:rsid w:val="00181778"/>
    <w:rsid w:val="001817C7"/>
    <w:rsid w:val="00181F6E"/>
    <w:rsid w:val="00181FFB"/>
    <w:rsid w:val="00182574"/>
    <w:rsid w:val="00183502"/>
    <w:rsid w:val="00183AC7"/>
    <w:rsid w:val="00183B5B"/>
    <w:rsid w:val="00184A36"/>
    <w:rsid w:val="00184D84"/>
    <w:rsid w:val="00184EDB"/>
    <w:rsid w:val="00185186"/>
    <w:rsid w:val="001854B9"/>
    <w:rsid w:val="001867EF"/>
    <w:rsid w:val="00187936"/>
    <w:rsid w:val="00187FD9"/>
    <w:rsid w:val="00190815"/>
    <w:rsid w:val="00191509"/>
    <w:rsid w:val="00191E9A"/>
    <w:rsid w:val="001927A9"/>
    <w:rsid w:val="0019300D"/>
    <w:rsid w:val="001940F1"/>
    <w:rsid w:val="00194435"/>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4058"/>
    <w:rsid w:val="001B44E0"/>
    <w:rsid w:val="001B502C"/>
    <w:rsid w:val="001B523D"/>
    <w:rsid w:val="001B7877"/>
    <w:rsid w:val="001B7B3D"/>
    <w:rsid w:val="001B7B93"/>
    <w:rsid w:val="001C027E"/>
    <w:rsid w:val="001C0373"/>
    <w:rsid w:val="001C1096"/>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637"/>
    <w:rsid w:val="001D77B0"/>
    <w:rsid w:val="001E1E5B"/>
    <w:rsid w:val="001E4B85"/>
    <w:rsid w:val="001E637E"/>
    <w:rsid w:val="001E6DC4"/>
    <w:rsid w:val="001E70C0"/>
    <w:rsid w:val="001E7AF4"/>
    <w:rsid w:val="001E7F83"/>
    <w:rsid w:val="001F0F87"/>
    <w:rsid w:val="001F202A"/>
    <w:rsid w:val="001F206B"/>
    <w:rsid w:val="001F2A90"/>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34B6"/>
    <w:rsid w:val="002142C6"/>
    <w:rsid w:val="002147D0"/>
    <w:rsid w:val="0021555E"/>
    <w:rsid w:val="002155B7"/>
    <w:rsid w:val="002164B4"/>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877"/>
    <w:rsid w:val="00233B5E"/>
    <w:rsid w:val="00236203"/>
    <w:rsid w:val="00236A00"/>
    <w:rsid w:val="00237CB8"/>
    <w:rsid w:val="00237D6F"/>
    <w:rsid w:val="0024026D"/>
    <w:rsid w:val="00242062"/>
    <w:rsid w:val="0024498C"/>
    <w:rsid w:val="00244AF2"/>
    <w:rsid w:val="002457AF"/>
    <w:rsid w:val="00247E7E"/>
    <w:rsid w:val="00250E84"/>
    <w:rsid w:val="00251239"/>
    <w:rsid w:val="00251C15"/>
    <w:rsid w:val="00251DEE"/>
    <w:rsid w:val="00252628"/>
    <w:rsid w:val="00252726"/>
    <w:rsid w:val="00255663"/>
    <w:rsid w:val="00256952"/>
    <w:rsid w:val="00256995"/>
    <w:rsid w:val="00256B76"/>
    <w:rsid w:val="00257034"/>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C94"/>
    <w:rsid w:val="00273FAA"/>
    <w:rsid w:val="0027406C"/>
    <w:rsid w:val="00274615"/>
    <w:rsid w:val="00274FFD"/>
    <w:rsid w:val="00276379"/>
    <w:rsid w:val="0027654D"/>
    <w:rsid w:val="00277BDF"/>
    <w:rsid w:val="00277E2E"/>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271E"/>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B744E"/>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6A6"/>
    <w:rsid w:val="002D4F67"/>
    <w:rsid w:val="002D60EA"/>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1F61"/>
    <w:rsid w:val="002F288F"/>
    <w:rsid w:val="002F3863"/>
    <w:rsid w:val="002F3E06"/>
    <w:rsid w:val="002F48EE"/>
    <w:rsid w:val="002F4D9E"/>
    <w:rsid w:val="002F6382"/>
    <w:rsid w:val="002F6B88"/>
    <w:rsid w:val="002F6E8F"/>
    <w:rsid w:val="002F7A9B"/>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5E2"/>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4A8"/>
    <w:rsid w:val="0038095B"/>
    <w:rsid w:val="00380FB8"/>
    <w:rsid w:val="00381972"/>
    <w:rsid w:val="00383988"/>
    <w:rsid w:val="003850C2"/>
    <w:rsid w:val="0038518C"/>
    <w:rsid w:val="003864EE"/>
    <w:rsid w:val="0038667E"/>
    <w:rsid w:val="00387120"/>
    <w:rsid w:val="00387D15"/>
    <w:rsid w:val="00390021"/>
    <w:rsid w:val="00390321"/>
    <w:rsid w:val="00391B10"/>
    <w:rsid w:val="00392281"/>
    <w:rsid w:val="00392293"/>
    <w:rsid w:val="0039322E"/>
    <w:rsid w:val="00394129"/>
    <w:rsid w:val="00394430"/>
    <w:rsid w:val="00394D77"/>
    <w:rsid w:val="00395D9F"/>
    <w:rsid w:val="00396852"/>
    <w:rsid w:val="003976AE"/>
    <w:rsid w:val="003979B2"/>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2DC"/>
    <w:rsid w:val="003B7855"/>
    <w:rsid w:val="003C12FA"/>
    <w:rsid w:val="003C184A"/>
    <w:rsid w:val="003C1E88"/>
    <w:rsid w:val="003C27D5"/>
    <w:rsid w:val="003C2D44"/>
    <w:rsid w:val="003C2DCC"/>
    <w:rsid w:val="003C3242"/>
    <w:rsid w:val="003C3751"/>
    <w:rsid w:val="003C3E3C"/>
    <w:rsid w:val="003C4B63"/>
    <w:rsid w:val="003C50DE"/>
    <w:rsid w:val="003C5892"/>
    <w:rsid w:val="003C5E08"/>
    <w:rsid w:val="003C61AB"/>
    <w:rsid w:val="003C6470"/>
    <w:rsid w:val="003C6C6E"/>
    <w:rsid w:val="003C6FC0"/>
    <w:rsid w:val="003C7581"/>
    <w:rsid w:val="003C7808"/>
    <w:rsid w:val="003D00CF"/>
    <w:rsid w:val="003D1676"/>
    <w:rsid w:val="003D1700"/>
    <w:rsid w:val="003D19BD"/>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4E3"/>
    <w:rsid w:val="003F2DFE"/>
    <w:rsid w:val="003F435E"/>
    <w:rsid w:val="003F4936"/>
    <w:rsid w:val="003F4BE8"/>
    <w:rsid w:val="003F5707"/>
    <w:rsid w:val="003F5EE0"/>
    <w:rsid w:val="003F7351"/>
    <w:rsid w:val="003F779C"/>
    <w:rsid w:val="003F7CA2"/>
    <w:rsid w:val="0040063B"/>
    <w:rsid w:val="004018A1"/>
    <w:rsid w:val="00401CD7"/>
    <w:rsid w:val="00401CF8"/>
    <w:rsid w:val="00401D41"/>
    <w:rsid w:val="004022E6"/>
    <w:rsid w:val="004025CA"/>
    <w:rsid w:val="00402994"/>
    <w:rsid w:val="00402B6B"/>
    <w:rsid w:val="0040316E"/>
    <w:rsid w:val="004034D3"/>
    <w:rsid w:val="00403711"/>
    <w:rsid w:val="00403FE6"/>
    <w:rsid w:val="004051B7"/>
    <w:rsid w:val="0040544F"/>
    <w:rsid w:val="00405D40"/>
    <w:rsid w:val="00405ECC"/>
    <w:rsid w:val="00407E54"/>
    <w:rsid w:val="00407EC6"/>
    <w:rsid w:val="00410059"/>
    <w:rsid w:val="00410A77"/>
    <w:rsid w:val="004111C8"/>
    <w:rsid w:val="00411503"/>
    <w:rsid w:val="0041189B"/>
    <w:rsid w:val="00412169"/>
    <w:rsid w:val="004128BE"/>
    <w:rsid w:val="004129A4"/>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6296"/>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0D8"/>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834"/>
    <w:rsid w:val="0049699D"/>
    <w:rsid w:val="004971DA"/>
    <w:rsid w:val="0049738E"/>
    <w:rsid w:val="00497DA9"/>
    <w:rsid w:val="004A012B"/>
    <w:rsid w:val="004A0B2F"/>
    <w:rsid w:val="004A0DE5"/>
    <w:rsid w:val="004A146B"/>
    <w:rsid w:val="004A14C9"/>
    <w:rsid w:val="004A36D8"/>
    <w:rsid w:val="004A3CA9"/>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4FE6"/>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D2A"/>
    <w:rsid w:val="00510E38"/>
    <w:rsid w:val="005117EB"/>
    <w:rsid w:val="00512F1A"/>
    <w:rsid w:val="00513046"/>
    <w:rsid w:val="0051331F"/>
    <w:rsid w:val="00513479"/>
    <w:rsid w:val="00513C78"/>
    <w:rsid w:val="0051424C"/>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58E8"/>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0B48"/>
    <w:rsid w:val="0054112C"/>
    <w:rsid w:val="00541847"/>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73A0"/>
    <w:rsid w:val="00567781"/>
    <w:rsid w:val="00570B50"/>
    <w:rsid w:val="00570DA9"/>
    <w:rsid w:val="00571ED1"/>
    <w:rsid w:val="00572271"/>
    <w:rsid w:val="00572696"/>
    <w:rsid w:val="00573197"/>
    <w:rsid w:val="00573341"/>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111"/>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9FA"/>
    <w:rsid w:val="005D2F2C"/>
    <w:rsid w:val="005D31EE"/>
    <w:rsid w:val="005D33FB"/>
    <w:rsid w:val="005D368B"/>
    <w:rsid w:val="005D3AA1"/>
    <w:rsid w:val="005D3C26"/>
    <w:rsid w:val="005D470E"/>
    <w:rsid w:val="005D5162"/>
    <w:rsid w:val="005D5646"/>
    <w:rsid w:val="005D6D69"/>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6978"/>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A6C"/>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0F10"/>
    <w:rsid w:val="00651217"/>
    <w:rsid w:val="00652B22"/>
    <w:rsid w:val="0065374F"/>
    <w:rsid w:val="00653B67"/>
    <w:rsid w:val="00654E24"/>
    <w:rsid w:val="00655724"/>
    <w:rsid w:val="00655726"/>
    <w:rsid w:val="00655735"/>
    <w:rsid w:val="00656D07"/>
    <w:rsid w:val="00657BEB"/>
    <w:rsid w:val="006605DE"/>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01A"/>
    <w:rsid w:val="00683147"/>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2F3C"/>
    <w:rsid w:val="006936E9"/>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39B"/>
    <w:rsid w:val="006A7B11"/>
    <w:rsid w:val="006B076B"/>
    <w:rsid w:val="006B0A75"/>
    <w:rsid w:val="006B0CE6"/>
    <w:rsid w:val="006B0E47"/>
    <w:rsid w:val="006B171D"/>
    <w:rsid w:val="006B1E36"/>
    <w:rsid w:val="006B219D"/>
    <w:rsid w:val="006B2CC0"/>
    <w:rsid w:val="006B3D73"/>
    <w:rsid w:val="006B471A"/>
    <w:rsid w:val="006B62EC"/>
    <w:rsid w:val="006B79D9"/>
    <w:rsid w:val="006C1C5D"/>
    <w:rsid w:val="006C2369"/>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6B0D"/>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2F55"/>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78D"/>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2B07"/>
    <w:rsid w:val="007742C4"/>
    <w:rsid w:val="0077604D"/>
    <w:rsid w:val="00776426"/>
    <w:rsid w:val="00776E56"/>
    <w:rsid w:val="00777180"/>
    <w:rsid w:val="0077724A"/>
    <w:rsid w:val="007775F5"/>
    <w:rsid w:val="00780547"/>
    <w:rsid w:val="0078055B"/>
    <w:rsid w:val="00780773"/>
    <w:rsid w:val="0078081B"/>
    <w:rsid w:val="00780BFE"/>
    <w:rsid w:val="00780FAD"/>
    <w:rsid w:val="00781796"/>
    <w:rsid w:val="00781BF2"/>
    <w:rsid w:val="007846A3"/>
    <w:rsid w:val="007863D2"/>
    <w:rsid w:val="00786828"/>
    <w:rsid w:val="00786845"/>
    <w:rsid w:val="007870E4"/>
    <w:rsid w:val="00787CF6"/>
    <w:rsid w:val="00787F9E"/>
    <w:rsid w:val="00790FA6"/>
    <w:rsid w:val="0079115E"/>
    <w:rsid w:val="0079213E"/>
    <w:rsid w:val="00792498"/>
    <w:rsid w:val="00793338"/>
    <w:rsid w:val="007941B2"/>
    <w:rsid w:val="00795ACA"/>
    <w:rsid w:val="0079695D"/>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665"/>
    <w:rsid w:val="007B5986"/>
    <w:rsid w:val="007B59B9"/>
    <w:rsid w:val="007B5A60"/>
    <w:rsid w:val="007B7A1B"/>
    <w:rsid w:val="007B7BC3"/>
    <w:rsid w:val="007C01F9"/>
    <w:rsid w:val="007C0B21"/>
    <w:rsid w:val="007C0F12"/>
    <w:rsid w:val="007C12B8"/>
    <w:rsid w:val="007C139C"/>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341"/>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3F2B"/>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1A4F"/>
    <w:rsid w:val="008131BC"/>
    <w:rsid w:val="008136D5"/>
    <w:rsid w:val="008145CD"/>
    <w:rsid w:val="0081474E"/>
    <w:rsid w:val="008148E0"/>
    <w:rsid w:val="00814C8C"/>
    <w:rsid w:val="00814EED"/>
    <w:rsid w:val="00815517"/>
    <w:rsid w:val="00816581"/>
    <w:rsid w:val="00820416"/>
    <w:rsid w:val="008206FF"/>
    <w:rsid w:val="008217EC"/>
    <w:rsid w:val="00821C4D"/>
    <w:rsid w:val="00822B2B"/>
    <w:rsid w:val="008232D3"/>
    <w:rsid w:val="00823C53"/>
    <w:rsid w:val="00825ABA"/>
    <w:rsid w:val="008270E7"/>
    <w:rsid w:val="008273FD"/>
    <w:rsid w:val="00827B2C"/>
    <w:rsid w:val="00827FCC"/>
    <w:rsid w:val="008308A9"/>
    <w:rsid w:val="0083251B"/>
    <w:rsid w:val="00832BF4"/>
    <w:rsid w:val="0083343C"/>
    <w:rsid w:val="008337F3"/>
    <w:rsid w:val="00833B55"/>
    <w:rsid w:val="008344DC"/>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0B16"/>
    <w:rsid w:val="008510B2"/>
    <w:rsid w:val="0085152C"/>
    <w:rsid w:val="00851815"/>
    <w:rsid w:val="00852BB0"/>
    <w:rsid w:val="0085362D"/>
    <w:rsid w:val="00853799"/>
    <w:rsid w:val="00853F0D"/>
    <w:rsid w:val="00854720"/>
    <w:rsid w:val="00855EA8"/>
    <w:rsid w:val="00856921"/>
    <w:rsid w:val="00857023"/>
    <w:rsid w:val="00857692"/>
    <w:rsid w:val="00857770"/>
    <w:rsid w:val="0086068A"/>
    <w:rsid w:val="00860B45"/>
    <w:rsid w:val="00860FA4"/>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B95"/>
    <w:rsid w:val="00874D52"/>
    <w:rsid w:val="00874D92"/>
    <w:rsid w:val="00875650"/>
    <w:rsid w:val="008756C3"/>
    <w:rsid w:val="0087600A"/>
    <w:rsid w:val="008760FC"/>
    <w:rsid w:val="008769FB"/>
    <w:rsid w:val="00876AE9"/>
    <w:rsid w:val="00880063"/>
    <w:rsid w:val="0088048D"/>
    <w:rsid w:val="0088177F"/>
    <w:rsid w:val="00881974"/>
    <w:rsid w:val="008820A9"/>
    <w:rsid w:val="008828B7"/>
    <w:rsid w:val="00882CC9"/>
    <w:rsid w:val="00882F5E"/>
    <w:rsid w:val="00883DB0"/>
    <w:rsid w:val="00883F03"/>
    <w:rsid w:val="00884354"/>
    <w:rsid w:val="00884D33"/>
    <w:rsid w:val="0088621E"/>
    <w:rsid w:val="00886AFC"/>
    <w:rsid w:val="00886F6B"/>
    <w:rsid w:val="00887169"/>
    <w:rsid w:val="008872CC"/>
    <w:rsid w:val="00887D6F"/>
    <w:rsid w:val="008905A7"/>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4CF7"/>
    <w:rsid w:val="008A4E01"/>
    <w:rsid w:val="008A6C38"/>
    <w:rsid w:val="008A7A82"/>
    <w:rsid w:val="008A7A9C"/>
    <w:rsid w:val="008A7ACB"/>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4EAE"/>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91E"/>
    <w:rsid w:val="008F1AAF"/>
    <w:rsid w:val="008F2795"/>
    <w:rsid w:val="008F2AE3"/>
    <w:rsid w:val="008F2D3B"/>
    <w:rsid w:val="008F3519"/>
    <w:rsid w:val="008F3577"/>
    <w:rsid w:val="008F3CE3"/>
    <w:rsid w:val="008F4084"/>
    <w:rsid w:val="008F49E7"/>
    <w:rsid w:val="008F5125"/>
    <w:rsid w:val="008F55BA"/>
    <w:rsid w:val="008F5ED0"/>
    <w:rsid w:val="008F60DA"/>
    <w:rsid w:val="008F640E"/>
    <w:rsid w:val="008F69B6"/>
    <w:rsid w:val="008F6C7C"/>
    <w:rsid w:val="008F73F5"/>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521C"/>
    <w:rsid w:val="009365B6"/>
    <w:rsid w:val="009369A3"/>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12"/>
    <w:rsid w:val="00965FE1"/>
    <w:rsid w:val="00966096"/>
    <w:rsid w:val="00966441"/>
    <w:rsid w:val="00966E5B"/>
    <w:rsid w:val="00967240"/>
    <w:rsid w:val="009675C8"/>
    <w:rsid w:val="00970589"/>
    <w:rsid w:val="00970DDD"/>
    <w:rsid w:val="009714DE"/>
    <w:rsid w:val="0097158A"/>
    <w:rsid w:val="009718FF"/>
    <w:rsid w:val="009729BF"/>
    <w:rsid w:val="009731A1"/>
    <w:rsid w:val="00973DFB"/>
    <w:rsid w:val="00973FE5"/>
    <w:rsid w:val="0097442B"/>
    <w:rsid w:val="00980D66"/>
    <w:rsid w:val="0098123E"/>
    <w:rsid w:val="0098154E"/>
    <w:rsid w:val="00981B16"/>
    <w:rsid w:val="00982546"/>
    <w:rsid w:val="0098319B"/>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54E"/>
    <w:rsid w:val="009A479D"/>
    <w:rsid w:val="009A6A75"/>
    <w:rsid w:val="009A7530"/>
    <w:rsid w:val="009B01B6"/>
    <w:rsid w:val="009B060B"/>
    <w:rsid w:val="009B084F"/>
    <w:rsid w:val="009B1960"/>
    <w:rsid w:val="009B24BF"/>
    <w:rsid w:val="009B3C11"/>
    <w:rsid w:val="009B4014"/>
    <w:rsid w:val="009B401C"/>
    <w:rsid w:val="009B4292"/>
    <w:rsid w:val="009B432E"/>
    <w:rsid w:val="009B4D03"/>
    <w:rsid w:val="009B525C"/>
    <w:rsid w:val="009B5C28"/>
    <w:rsid w:val="009B6A66"/>
    <w:rsid w:val="009B6E6E"/>
    <w:rsid w:val="009B74DA"/>
    <w:rsid w:val="009B7A2E"/>
    <w:rsid w:val="009C005F"/>
    <w:rsid w:val="009C299B"/>
    <w:rsid w:val="009C2BCC"/>
    <w:rsid w:val="009C2D04"/>
    <w:rsid w:val="009C396F"/>
    <w:rsid w:val="009C3D65"/>
    <w:rsid w:val="009C5466"/>
    <w:rsid w:val="009C709B"/>
    <w:rsid w:val="009C7983"/>
    <w:rsid w:val="009D02D6"/>
    <w:rsid w:val="009D05B1"/>
    <w:rsid w:val="009D1037"/>
    <w:rsid w:val="009D1E9C"/>
    <w:rsid w:val="009D2859"/>
    <w:rsid w:val="009D2E04"/>
    <w:rsid w:val="009D2EED"/>
    <w:rsid w:val="009D3989"/>
    <w:rsid w:val="009D398B"/>
    <w:rsid w:val="009D5D3F"/>
    <w:rsid w:val="009D69B5"/>
    <w:rsid w:val="009D7DE7"/>
    <w:rsid w:val="009E07E4"/>
    <w:rsid w:val="009E10EE"/>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7DE"/>
    <w:rsid w:val="00A26D1D"/>
    <w:rsid w:val="00A2712C"/>
    <w:rsid w:val="00A2780A"/>
    <w:rsid w:val="00A27D98"/>
    <w:rsid w:val="00A30BCD"/>
    <w:rsid w:val="00A3209C"/>
    <w:rsid w:val="00A32566"/>
    <w:rsid w:val="00A3294B"/>
    <w:rsid w:val="00A33782"/>
    <w:rsid w:val="00A34717"/>
    <w:rsid w:val="00A3489A"/>
    <w:rsid w:val="00A35549"/>
    <w:rsid w:val="00A36CFE"/>
    <w:rsid w:val="00A371DD"/>
    <w:rsid w:val="00A37F05"/>
    <w:rsid w:val="00A4054C"/>
    <w:rsid w:val="00A41438"/>
    <w:rsid w:val="00A4327B"/>
    <w:rsid w:val="00A43E60"/>
    <w:rsid w:val="00A44684"/>
    <w:rsid w:val="00A44EAE"/>
    <w:rsid w:val="00A4519A"/>
    <w:rsid w:val="00A47724"/>
    <w:rsid w:val="00A479A5"/>
    <w:rsid w:val="00A47B03"/>
    <w:rsid w:val="00A47F71"/>
    <w:rsid w:val="00A50EDB"/>
    <w:rsid w:val="00A50F15"/>
    <w:rsid w:val="00A51347"/>
    <w:rsid w:val="00A537DE"/>
    <w:rsid w:val="00A542EF"/>
    <w:rsid w:val="00A5442C"/>
    <w:rsid w:val="00A55012"/>
    <w:rsid w:val="00A569B4"/>
    <w:rsid w:val="00A56E16"/>
    <w:rsid w:val="00A570BE"/>
    <w:rsid w:val="00A5720C"/>
    <w:rsid w:val="00A57872"/>
    <w:rsid w:val="00A6092D"/>
    <w:rsid w:val="00A60A0B"/>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4DB"/>
    <w:rsid w:val="00A705A6"/>
    <w:rsid w:val="00A7066A"/>
    <w:rsid w:val="00A7118A"/>
    <w:rsid w:val="00A717E6"/>
    <w:rsid w:val="00A71EF5"/>
    <w:rsid w:val="00A72652"/>
    <w:rsid w:val="00A7576F"/>
    <w:rsid w:val="00A7661F"/>
    <w:rsid w:val="00A77559"/>
    <w:rsid w:val="00A81622"/>
    <w:rsid w:val="00A817C9"/>
    <w:rsid w:val="00A81B63"/>
    <w:rsid w:val="00A81E43"/>
    <w:rsid w:val="00A82829"/>
    <w:rsid w:val="00A834A2"/>
    <w:rsid w:val="00A84245"/>
    <w:rsid w:val="00A8532B"/>
    <w:rsid w:val="00A8543E"/>
    <w:rsid w:val="00A857D4"/>
    <w:rsid w:val="00A85A55"/>
    <w:rsid w:val="00A85C9C"/>
    <w:rsid w:val="00A86C62"/>
    <w:rsid w:val="00A8705F"/>
    <w:rsid w:val="00A87B04"/>
    <w:rsid w:val="00A87FED"/>
    <w:rsid w:val="00A90EB1"/>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2869"/>
    <w:rsid w:val="00AA3A85"/>
    <w:rsid w:val="00AA3DFD"/>
    <w:rsid w:val="00AA511A"/>
    <w:rsid w:val="00AA587C"/>
    <w:rsid w:val="00AA5987"/>
    <w:rsid w:val="00AA5F48"/>
    <w:rsid w:val="00AA5FB8"/>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2A97"/>
    <w:rsid w:val="00AD39AF"/>
    <w:rsid w:val="00AD3D45"/>
    <w:rsid w:val="00AD3F61"/>
    <w:rsid w:val="00AD4567"/>
    <w:rsid w:val="00AD4EE7"/>
    <w:rsid w:val="00AD6025"/>
    <w:rsid w:val="00AD7C7E"/>
    <w:rsid w:val="00AE077E"/>
    <w:rsid w:val="00AE08D8"/>
    <w:rsid w:val="00AE1056"/>
    <w:rsid w:val="00AE1A0C"/>
    <w:rsid w:val="00AE22E0"/>
    <w:rsid w:val="00AE236F"/>
    <w:rsid w:val="00AE2518"/>
    <w:rsid w:val="00AE25A3"/>
    <w:rsid w:val="00AE2D74"/>
    <w:rsid w:val="00AE3B21"/>
    <w:rsid w:val="00AE4297"/>
    <w:rsid w:val="00AE4969"/>
    <w:rsid w:val="00AE4A66"/>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1981"/>
    <w:rsid w:val="00B22383"/>
    <w:rsid w:val="00B23227"/>
    <w:rsid w:val="00B238A8"/>
    <w:rsid w:val="00B241E9"/>
    <w:rsid w:val="00B25160"/>
    <w:rsid w:val="00B25AC1"/>
    <w:rsid w:val="00B25F38"/>
    <w:rsid w:val="00B267BB"/>
    <w:rsid w:val="00B275BD"/>
    <w:rsid w:val="00B276A1"/>
    <w:rsid w:val="00B30819"/>
    <w:rsid w:val="00B3088C"/>
    <w:rsid w:val="00B314A4"/>
    <w:rsid w:val="00B33208"/>
    <w:rsid w:val="00B34D28"/>
    <w:rsid w:val="00B351D7"/>
    <w:rsid w:val="00B353C0"/>
    <w:rsid w:val="00B356D3"/>
    <w:rsid w:val="00B36EFC"/>
    <w:rsid w:val="00B40A69"/>
    <w:rsid w:val="00B40B17"/>
    <w:rsid w:val="00B40BF5"/>
    <w:rsid w:val="00B414BC"/>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7FD"/>
    <w:rsid w:val="00B56EA9"/>
    <w:rsid w:val="00B60279"/>
    <w:rsid w:val="00B60B7C"/>
    <w:rsid w:val="00B60F78"/>
    <w:rsid w:val="00B6181B"/>
    <w:rsid w:val="00B620EE"/>
    <w:rsid w:val="00B621E8"/>
    <w:rsid w:val="00B62A70"/>
    <w:rsid w:val="00B6358C"/>
    <w:rsid w:val="00B645D1"/>
    <w:rsid w:val="00B650AA"/>
    <w:rsid w:val="00B65203"/>
    <w:rsid w:val="00B65D17"/>
    <w:rsid w:val="00B65EAE"/>
    <w:rsid w:val="00B711A3"/>
    <w:rsid w:val="00B7264A"/>
    <w:rsid w:val="00B7335B"/>
    <w:rsid w:val="00B73415"/>
    <w:rsid w:val="00B73A3F"/>
    <w:rsid w:val="00B73BF6"/>
    <w:rsid w:val="00B744AC"/>
    <w:rsid w:val="00B7527A"/>
    <w:rsid w:val="00B75315"/>
    <w:rsid w:val="00B75BD3"/>
    <w:rsid w:val="00B7639A"/>
    <w:rsid w:val="00B76636"/>
    <w:rsid w:val="00B76FC2"/>
    <w:rsid w:val="00B77302"/>
    <w:rsid w:val="00B813A3"/>
    <w:rsid w:val="00B81C1A"/>
    <w:rsid w:val="00B81F16"/>
    <w:rsid w:val="00B82319"/>
    <w:rsid w:val="00B82598"/>
    <w:rsid w:val="00B84A0B"/>
    <w:rsid w:val="00B85817"/>
    <w:rsid w:val="00B85908"/>
    <w:rsid w:val="00B8648E"/>
    <w:rsid w:val="00B86ADA"/>
    <w:rsid w:val="00B875A2"/>
    <w:rsid w:val="00B8760F"/>
    <w:rsid w:val="00B9066E"/>
    <w:rsid w:val="00B90B08"/>
    <w:rsid w:val="00B91830"/>
    <w:rsid w:val="00B918DA"/>
    <w:rsid w:val="00B92C04"/>
    <w:rsid w:val="00B93FB7"/>
    <w:rsid w:val="00B943A0"/>
    <w:rsid w:val="00B94CD1"/>
    <w:rsid w:val="00B95633"/>
    <w:rsid w:val="00B9596D"/>
    <w:rsid w:val="00B9608F"/>
    <w:rsid w:val="00B961B4"/>
    <w:rsid w:val="00B96293"/>
    <w:rsid w:val="00B96B9B"/>
    <w:rsid w:val="00B97967"/>
    <w:rsid w:val="00BA0FB0"/>
    <w:rsid w:val="00BA2353"/>
    <w:rsid w:val="00BA2FD6"/>
    <w:rsid w:val="00BA31A1"/>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3F81"/>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4876"/>
    <w:rsid w:val="00BF54A4"/>
    <w:rsid w:val="00BF73CB"/>
    <w:rsid w:val="00C00159"/>
    <w:rsid w:val="00C00461"/>
    <w:rsid w:val="00C006C7"/>
    <w:rsid w:val="00C00C54"/>
    <w:rsid w:val="00C00DA7"/>
    <w:rsid w:val="00C045F5"/>
    <w:rsid w:val="00C047E8"/>
    <w:rsid w:val="00C047F9"/>
    <w:rsid w:val="00C054BF"/>
    <w:rsid w:val="00C057D5"/>
    <w:rsid w:val="00C06161"/>
    <w:rsid w:val="00C06237"/>
    <w:rsid w:val="00C06477"/>
    <w:rsid w:val="00C076BF"/>
    <w:rsid w:val="00C07E46"/>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2CB"/>
    <w:rsid w:val="00C27703"/>
    <w:rsid w:val="00C27A57"/>
    <w:rsid w:val="00C27C71"/>
    <w:rsid w:val="00C30522"/>
    <w:rsid w:val="00C307BF"/>
    <w:rsid w:val="00C307EA"/>
    <w:rsid w:val="00C31144"/>
    <w:rsid w:val="00C312CF"/>
    <w:rsid w:val="00C319B4"/>
    <w:rsid w:val="00C31E51"/>
    <w:rsid w:val="00C31F3E"/>
    <w:rsid w:val="00C34AEB"/>
    <w:rsid w:val="00C35653"/>
    <w:rsid w:val="00C3656E"/>
    <w:rsid w:val="00C369B9"/>
    <w:rsid w:val="00C4160B"/>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432B"/>
    <w:rsid w:val="00C54618"/>
    <w:rsid w:val="00C54B1B"/>
    <w:rsid w:val="00C54D2A"/>
    <w:rsid w:val="00C55B31"/>
    <w:rsid w:val="00C55DB0"/>
    <w:rsid w:val="00C560CE"/>
    <w:rsid w:val="00C577FF"/>
    <w:rsid w:val="00C57B81"/>
    <w:rsid w:val="00C57E67"/>
    <w:rsid w:val="00C65807"/>
    <w:rsid w:val="00C65C4F"/>
    <w:rsid w:val="00C665BE"/>
    <w:rsid w:val="00C70D82"/>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3E3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C1E84"/>
    <w:rsid w:val="00CC2771"/>
    <w:rsid w:val="00CC2E9A"/>
    <w:rsid w:val="00CC2F7B"/>
    <w:rsid w:val="00CC32B3"/>
    <w:rsid w:val="00CC3D05"/>
    <w:rsid w:val="00CC5CFD"/>
    <w:rsid w:val="00CC6852"/>
    <w:rsid w:val="00CD0245"/>
    <w:rsid w:val="00CD11BB"/>
    <w:rsid w:val="00CD2786"/>
    <w:rsid w:val="00CD2B07"/>
    <w:rsid w:val="00CD313C"/>
    <w:rsid w:val="00CD3F85"/>
    <w:rsid w:val="00CD4EF2"/>
    <w:rsid w:val="00CD57BD"/>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59A7"/>
    <w:rsid w:val="00CF60D2"/>
    <w:rsid w:val="00CF6242"/>
    <w:rsid w:val="00CF66AF"/>
    <w:rsid w:val="00CF6C63"/>
    <w:rsid w:val="00CF7042"/>
    <w:rsid w:val="00CF76BD"/>
    <w:rsid w:val="00CF7719"/>
    <w:rsid w:val="00D0006E"/>
    <w:rsid w:val="00D00384"/>
    <w:rsid w:val="00D007C0"/>
    <w:rsid w:val="00D0102F"/>
    <w:rsid w:val="00D03615"/>
    <w:rsid w:val="00D03846"/>
    <w:rsid w:val="00D03DCC"/>
    <w:rsid w:val="00D042B4"/>
    <w:rsid w:val="00D048FB"/>
    <w:rsid w:val="00D05E70"/>
    <w:rsid w:val="00D0699D"/>
    <w:rsid w:val="00D06EBC"/>
    <w:rsid w:val="00D072D1"/>
    <w:rsid w:val="00D07687"/>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64C"/>
    <w:rsid w:val="00D36765"/>
    <w:rsid w:val="00D3754F"/>
    <w:rsid w:val="00D37675"/>
    <w:rsid w:val="00D378DB"/>
    <w:rsid w:val="00D37FB1"/>
    <w:rsid w:val="00D408A5"/>
    <w:rsid w:val="00D40BBC"/>
    <w:rsid w:val="00D40FB9"/>
    <w:rsid w:val="00D4187F"/>
    <w:rsid w:val="00D41E09"/>
    <w:rsid w:val="00D424EC"/>
    <w:rsid w:val="00D42C23"/>
    <w:rsid w:val="00D43803"/>
    <w:rsid w:val="00D44B91"/>
    <w:rsid w:val="00D44E31"/>
    <w:rsid w:val="00D45924"/>
    <w:rsid w:val="00D45957"/>
    <w:rsid w:val="00D46DCA"/>
    <w:rsid w:val="00D47852"/>
    <w:rsid w:val="00D47A7C"/>
    <w:rsid w:val="00D47F8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2F45"/>
    <w:rsid w:val="00D63D64"/>
    <w:rsid w:val="00D64B74"/>
    <w:rsid w:val="00D652E3"/>
    <w:rsid w:val="00D659A7"/>
    <w:rsid w:val="00D65C81"/>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18C"/>
    <w:rsid w:val="00DB4D14"/>
    <w:rsid w:val="00DB539F"/>
    <w:rsid w:val="00DB5D3B"/>
    <w:rsid w:val="00DB7234"/>
    <w:rsid w:val="00DB76A0"/>
    <w:rsid w:val="00DB78D8"/>
    <w:rsid w:val="00DB792C"/>
    <w:rsid w:val="00DB7956"/>
    <w:rsid w:val="00DB79EC"/>
    <w:rsid w:val="00DC011F"/>
    <w:rsid w:val="00DC0599"/>
    <w:rsid w:val="00DC1236"/>
    <w:rsid w:val="00DC17E5"/>
    <w:rsid w:val="00DC1CA6"/>
    <w:rsid w:val="00DC1EC2"/>
    <w:rsid w:val="00DC234B"/>
    <w:rsid w:val="00DC35CE"/>
    <w:rsid w:val="00DC38FA"/>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4041"/>
    <w:rsid w:val="00E104E2"/>
    <w:rsid w:val="00E106EA"/>
    <w:rsid w:val="00E11F43"/>
    <w:rsid w:val="00E12516"/>
    <w:rsid w:val="00E134B4"/>
    <w:rsid w:val="00E13757"/>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78CF"/>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6E15"/>
    <w:rsid w:val="00E47044"/>
    <w:rsid w:val="00E47454"/>
    <w:rsid w:val="00E50687"/>
    <w:rsid w:val="00E50C89"/>
    <w:rsid w:val="00E515A4"/>
    <w:rsid w:val="00E51ACD"/>
    <w:rsid w:val="00E555D4"/>
    <w:rsid w:val="00E576DB"/>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B84"/>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5AB9"/>
    <w:rsid w:val="00E863EF"/>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0A6"/>
    <w:rsid w:val="00EA3318"/>
    <w:rsid w:val="00EA393A"/>
    <w:rsid w:val="00EA3B92"/>
    <w:rsid w:val="00EA425F"/>
    <w:rsid w:val="00EA45C4"/>
    <w:rsid w:val="00EA47BF"/>
    <w:rsid w:val="00EA4BE5"/>
    <w:rsid w:val="00EA557E"/>
    <w:rsid w:val="00EA58BA"/>
    <w:rsid w:val="00EA59E6"/>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6573"/>
    <w:rsid w:val="00EE7DF4"/>
    <w:rsid w:val="00EE7F31"/>
    <w:rsid w:val="00EE7F99"/>
    <w:rsid w:val="00EF0673"/>
    <w:rsid w:val="00EF0A3B"/>
    <w:rsid w:val="00EF0E0D"/>
    <w:rsid w:val="00EF19D8"/>
    <w:rsid w:val="00EF3EAD"/>
    <w:rsid w:val="00EF40D0"/>
    <w:rsid w:val="00EF4232"/>
    <w:rsid w:val="00EF5769"/>
    <w:rsid w:val="00EF715D"/>
    <w:rsid w:val="00F001E5"/>
    <w:rsid w:val="00F00CDB"/>
    <w:rsid w:val="00F02453"/>
    <w:rsid w:val="00F026BB"/>
    <w:rsid w:val="00F03DC0"/>
    <w:rsid w:val="00F04E8D"/>
    <w:rsid w:val="00F0555C"/>
    <w:rsid w:val="00F06A64"/>
    <w:rsid w:val="00F06DBB"/>
    <w:rsid w:val="00F075AE"/>
    <w:rsid w:val="00F101DA"/>
    <w:rsid w:val="00F114E6"/>
    <w:rsid w:val="00F1211B"/>
    <w:rsid w:val="00F12D58"/>
    <w:rsid w:val="00F14059"/>
    <w:rsid w:val="00F14B5A"/>
    <w:rsid w:val="00F15698"/>
    <w:rsid w:val="00F15B8D"/>
    <w:rsid w:val="00F161A7"/>
    <w:rsid w:val="00F20A97"/>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5ADA"/>
    <w:rsid w:val="00F4627C"/>
    <w:rsid w:val="00F473D3"/>
    <w:rsid w:val="00F501E1"/>
    <w:rsid w:val="00F50470"/>
    <w:rsid w:val="00F50F4A"/>
    <w:rsid w:val="00F51017"/>
    <w:rsid w:val="00F52014"/>
    <w:rsid w:val="00F53243"/>
    <w:rsid w:val="00F53310"/>
    <w:rsid w:val="00F53541"/>
    <w:rsid w:val="00F53E56"/>
    <w:rsid w:val="00F55B39"/>
    <w:rsid w:val="00F571A7"/>
    <w:rsid w:val="00F572EB"/>
    <w:rsid w:val="00F57CA0"/>
    <w:rsid w:val="00F60C91"/>
    <w:rsid w:val="00F613EF"/>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23CF"/>
    <w:rsid w:val="00F853C6"/>
    <w:rsid w:val="00F86428"/>
    <w:rsid w:val="00F86AB7"/>
    <w:rsid w:val="00F86EA1"/>
    <w:rsid w:val="00F87034"/>
    <w:rsid w:val="00F876CC"/>
    <w:rsid w:val="00F9056B"/>
    <w:rsid w:val="00F9140B"/>
    <w:rsid w:val="00F918A5"/>
    <w:rsid w:val="00F91D30"/>
    <w:rsid w:val="00F92352"/>
    <w:rsid w:val="00F931FF"/>
    <w:rsid w:val="00F93257"/>
    <w:rsid w:val="00F93758"/>
    <w:rsid w:val="00F96211"/>
    <w:rsid w:val="00F96643"/>
    <w:rsid w:val="00F96727"/>
    <w:rsid w:val="00F9786F"/>
    <w:rsid w:val="00FA00FF"/>
    <w:rsid w:val="00FA016F"/>
    <w:rsid w:val="00FA0272"/>
    <w:rsid w:val="00FA0588"/>
    <w:rsid w:val="00FA158A"/>
    <w:rsid w:val="00FA338F"/>
    <w:rsid w:val="00FA4042"/>
    <w:rsid w:val="00FA4350"/>
    <w:rsid w:val="00FA44FF"/>
    <w:rsid w:val="00FA45D5"/>
    <w:rsid w:val="00FA5212"/>
    <w:rsid w:val="00FA65CC"/>
    <w:rsid w:val="00FA6A19"/>
    <w:rsid w:val="00FA73BC"/>
    <w:rsid w:val="00FA7FA2"/>
    <w:rsid w:val="00FB0144"/>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9ADF5AB9-2946-48DC-8706-7A5CE8A17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uiPriority w:val="99"/>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qFormat/>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MTEquationSection">
    <w:name w:val="MTEquationSection"/>
    <w:basedOn w:val="Policepardfaut"/>
    <w:rsid w:val="00124438"/>
    <w:rPr>
      <w:rFonts w:asciiTheme="majorHAnsi" w:hAnsiTheme="majorHAnsi" w:cstheme="majorHAnsi"/>
      <w:b/>
      <w:vanish/>
      <w:color w:val="FF0000"/>
    </w:rPr>
  </w:style>
  <w:style w:type="numbering" w:customStyle="1" w:styleId="Aucuneliste1">
    <w:name w:val="Aucune liste1"/>
    <w:next w:val="Aucuneliste"/>
    <w:uiPriority w:val="99"/>
    <w:semiHidden/>
    <w:unhideWhenUsed/>
    <w:rsid w:val="00380FB8"/>
  </w:style>
  <w:style w:type="paragraph" w:customStyle="1" w:styleId="xl63">
    <w:name w:val="xl63"/>
    <w:basedOn w:val="Normal"/>
    <w:rsid w:val="00B356D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lang w:val="fr-FR" w:eastAsia="fr-FR"/>
    </w:rPr>
  </w:style>
  <w:style w:type="paragraph" w:customStyle="1" w:styleId="xl64">
    <w:name w:val="xl64"/>
    <w:basedOn w:val="Normal"/>
    <w:rsid w:val="00B356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lang w:val="fr-FR" w:eastAsia="fr-FR"/>
    </w:rPr>
  </w:style>
  <w:style w:type="paragraph" w:customStyle="1" w:styleId="xl65">
    <w:name w:val="xl65"/>
    <w:basedOn w:val="Normal"/>
    <w:rsid w:val="00B35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fr-FR" w:eastAsia="fr-FR"/>
    </w:rPr>
  </w:style>
  <w:style w:type="paragraph" w:customStyle="1" w:styleId="xl66">
    <w:name w:val="xl66"/>
    <w:basedOn w:val="Normal"/>
    <w:rsid w:val="00B356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lang w:val="fr-FR" w:eastAsia="fr-FR"/>
    </w:rPr>
  </w:style>
  <w:style w:type="paragraph" w:customStyle="1" w:styleId="xl67">
    <w:name w:val="xl67"/>
    <w:basedOn w:val="Normal"/>
    <w:rsid w:val="00B356D3"/>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left"/>
    </w:pPr>
    <w:rPr>
      <w:rFonts w:eastAsia="Times New Roman"/>
      <w:lang w:val="fr-FR" w:eastAsia="fr-FR"/>
    </w:rPr>
  </w:style>
  <w:style w:type="paragraph" w:customStyle="1" w:styleId="xl68">
    <w:name w:val="xl68"/>
    <w:basedOn w:val="Normal"/>
    <w:rsid w:val="00B356D3"/>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left"/>
    </w:pPr>
    <w:rPr>
      <w:rFonts w:eastAsia="Times New Roman"/>
      <w:lang w:val="fr-FR" w:eastAsia="fr-FR"/>
    </w:rPr>
  </w:style>
  <w:style w:type="paragraph" w:customStyle="1" w:styleId="xl69">
    <w:name w:val="xl69"/>
    <w:basedOn w:val="Normal"/>
    <w:rsid w:val="00B356D3"/>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jc w:val="center"/>
    </w:pPr>
    <w:rPr>
      <w:rFonts w:eastAsia="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1413">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49696332">
      <w:bodyDiv w:val="1"/>
      <w:marLeft w:val="0"/>
      <w:marRight w:val="0"/>
      <w:marTop w:val="0"/>
      <w:marBottom w:val="0"/>
      <w:divBdr>
        <w:top w:val="none" w:sz="0" w:space="0" w:color="auto"/>
        <w:left w:val="none" w:sz="0" w:space="0" w:color="auto"/>
        <w:bottom w:val="none" w:sz="0" w:space="0" w:color="auto"/>
        <w:right w:val="none" w:sz="0" w:space="0" w:color="auto"/>
      </w:divBdr>
      <w:divsChild>
        <w:div w:id="1434398006">
          <w:marLeft w:val="0"/>
          <w:marRight w:val="0"/>
          <w:marTop w:val="0"/>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23066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3348806">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59357187">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19716709">
      <w:bodyDiv w:val="1"/>
      <w:marLeft w:val="0"/>
      <w:marRight w:val="0"/>
      <w:marTop w:val="0"/>
      <w:marBottom w:val="0"/>
      <w:divBdr>
        <w:top w:val="none" w:sz="0" w:space="0" w:color="auto"/>
        <w:left w:val="none" w:sz="0" w:space="0" w:color="auto"/>
        <w:bottom w:val="none" w:sz="0" w:space="0" w:color="auto"/>
        <w:right w:val="none" w:sz="0" w:space="0" w:color="auto"/>
      </w:divBdr>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1654570">
      <w:bodyDiv w:val="1"/>
      <w:marLeft w:val="0"/>
      <w:marRight w:val="0"/>
      <w:marTop w:val="0"/>
      <w:marBottom w:val="0"/>
      <w:divBdr>
        <w:top w:val="none" w:sz="0" w:space="0" w:color="auto"/>
        <w:left w:val="none" w:sz="0" w:space="0" w:color="auto"/>
        <w:bottom w:val="none" w:sz="0" w:space="0" w:color="auto"/>
        <w:right w:val="none" w:sz="0" w:space="0" w:color="auto"/>
      </w:divBdr>
      <w:divsChild>
        <w:div w:id="1643193898">
          <w:marLeft w:val="0"/>
          <w:marRight w:val="0"/>
          <w:marTop w:val="0"/>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975102">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7081265">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788627347">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7063083">
      <w:bodyDiv w:val="1"/>
      <w:marLeft w:val="0"/>
      <w:marRight w:val="0"/>
      <w:marTop w:val="0"/>
      <w:marBottom w:val="0"/>
      <w:divBdr>
        <w:top w:val="none" w:sz="0" w:space="0" w:color="auto"/>
        <w:left w:val="none" w:sz="0" w:space="0" w:color="auto"/>
        <w:bottom w:val="none" w:sz="0" w:space="0" w:color="auto"/>
        <w:right w:val="none" w:sz="0" w:space="0" w:color="auto"/>
      </w:divBdr>
      <w:divsChild>
        <w:div w:id="748039332">
          <w:marLeft w:val="0"/>
          <w:marRight w:val="0"/>
          <w:marTop w:val="0"/>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1105281">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84373305">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8232451">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47291733">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0666554">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33815788">
      <w:bodyDiv w:val="1"/>
      <w:marLeft w:val="0"/>
      <w:marRight w:val="0"/>
      <w:marTop w:val="0"/>
      <w:marBottom w:val="0"/>
      <w:divBdr>
        <w:top w:val="none" w:sz="0" w:space="0" w:color="auto"/>
        <w:left w:val="none" w:sz="0" w:space="0" w:color="auto"/>
        <w:bottom w:val="none" w:sz="0" w:space="0" w:color="auto"/>
        <w:right w:val="none" w:sz="0" w:space="0" w:color="auto"/>
      </w:divBdr>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0507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7713096">
      <w:bodyDiv w:val="1"/>
      <w:marLeft w:val="0"/>
      <w:marRight w:val="0"/>
      <w:marTop w:val="0"/>
      <w:marBottom w:val="0"/>
      <w:divBdr>
        <w:top w:val="none" w:sz="0" w:space="0" w:color="auto"/>
        <w:left w:val="none" w:sz="0" w:space="0" w:color="auto"/>
        <w:bottom w:val="none" w:sz="0" w:space="0" w:color="auto"/>
        <w:right w:val="none" w:sz="0" w:space="0" w:color="auto"/>
      </w:divBdr>
    </w:div>
    <w:div w:id="1548491834">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2568867">
      <w:bodyDiv w:val="1"/>
      <w:marLeft w:val="0"/>
      <w:marRight w:val="0"/>
      <w:marTop w:val="0"/>
      <w:marBottom w:val="0"/>
      <w:divBdr>
        <w:top w:val="none" w:sz="0" w:space="0" w:color="auto"/>
        <w:left w:val="none" w:sz="0" w:space="0" w:color="auto"/>
        <w:bottom w:val="none" w:sz="0" w:space="0" w:color="auto"/>
        <w:right w:val="none" w:sz="0" w:space="0" w:color="auto"/>
      </w:divBdr>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9434447">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3650031">
      <w:bodyDiv w:val="1"/>
      <w:marLeft w:val="0"/>
      <w:marRight w:val="0"/>
      <w:marTop w:val="0"/>
      <w:marBottom w:val="0"/>
      <w:divBdr>
        <w:top w:val="none" w:sz="0" w:space="0" w:color="auto"/>
        <w:left w:val="none" w:sz="0" w:space="0" w:color="auto"/>
        <w:bottom w:val="none" w:sz="0" w:space="0" w:color="auto"/>
        <w:right w:val="none" w:sz="0" w:space="0" w:color="auto"/>
      </w:divBdr>
      <w:divsChild>
        <w:div w:id="2127658312">
          <w:marLeft w:val="0"/>
          <w:marRight w:val="0"/>
          <w:marTop w:val="0"/>
          <w:marBottom w:val="0"/>
          <w:divBdr>
            <w:top w:val="none" w:sz="0" w:space="0" w:color="auto"/>
            <w:left w:val="none" w:sz="0" w:space="0" w:color="auto"/>
            <w:bottom w:val="none" w:sz="0" w:space="0" w:color="auto"/>
            <w:right w:val="none" w:sz="0" w:space="0" w:color="auto"/>
          </w:divBdr>
        </w:div>
      </w:divsChild>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058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8879452">
      <w:bodyDiv w:val="1"/>
      <w:marLeft w:val="0"/>
      <w:marRight w:val="0"/>
      <w:marTop w:val="0"/>
      <w:marBottom w:val="0"/>
      <w:divBdr>
        <w:top w:val="none" w:sz="0" w:space="0" w:color="auto"/>
        <w:left w:val="none" w:sz="0" w:space="0" w:color="auto"/>
        <w:bottom w:val="none" w:sz="0" w:space="0" w:color="auto"/>
        <w:right w:val="none" w:sz="0" w:space="0" w:color="auto"/>
      </w:divBdr>
    </w:div>
    <w:div w:id="1929535488">
      <w:bodyDiv w:val="1"/>
      <w:marLeft w:val="0"/>
      <w:marRight w:val="0"/>
      <w:marTop w:val="0"/>
      <w:marBottom w:val="0"/>
      <w:divBdr>
        <w:top w:val="none" w:sz="0" w:space="0" w:color="auto"/>
        <w:left w:val="none" w:sz="0" w:space="0" w:color="auto"/>
        <w:bottom w:val="none" w:sz="0" w:space="0" w:color="auto"/>
        <w:right w:val="none" w:sz="0" w:space="0" w:color="auto"/>
      </w:divBdr>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3262437">
      <w:bodyDiv w:val="1"/>
      <w:marLeft w:val="0"/>
      <w:marRight w:val="0"/>
      <w:marTop w:val="0"/>
      <w:marBottom w:val="0"/>
      <w:divBdr>
        <w:top w:val="none" w:sz="0" w:space="0" w:color="auto"/>
        <w:left w:val="none" w:sz="0" w:space="0" w:color="auto"/>
        <w:bottom w:val="none" w:sz="0" w:space="0" w:color="auto"/>
        <w:right w:val="none" w:sz="0" w:space="0" w:color="auto"/>
      </w:divBdr>
    </w:div>
    <w:div w:id="1972248808">
      <w:bodyDiv w:val="1"/>
      <w:marLeft w:val="0"/>
      <w:marRight w:val="0"/>
      <w:marTop w:val="0"/>
      <w:marBottom w:val="0"/>
      <w:divBdr>
        <w:top w:val="none" w:sz="0" w:space="0" w:color="auto"/>
        <w:left w:val="none" w:sz="0" w:space="0" w:color="auto"/>
        <w:bottom w:val="none" w:sz="0" w:space="0" w:color="auto"/>
        <w:right w:val="none" w:sz="0" w:space="0" w:color="auto"/>
      </w:divBdr>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87120147">
      <w:bodyDiv w:val="1"/>
      <w:marLeft w:val="0"/>
      <w:marRight w:val="0"/>
      <w:marTop w:val="0"/>
      <w:marBottom w:val="0"/>
      <w:divBdr>
        <w:top w:val="none" w:sz="0" w:space="0" w:color="auto"/>
        <w:left w:val="none" w:sz="0" w:space="0" w:color="auto"/>
        <w:bottom w:val="none" w:sz="0" w:space="0" w:color="auto"/>
        <w:right w:val="none" w:sz="0" w:space="0" w:color="auto"/>
      </w:divBdr>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2172402">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7498547">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F8416E-043C-4AD3-BA36-92B808E7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3674</Words>
  <Characters>20208</Characters>
  <Application>Microsoft Office Word</Application>
  <DocSecurity>0</DocSecurity>
  <Lines>168</Lines>
  <Paragraphs>47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2</cp:revision>
  <cp:lastPrinted>2018-04-04T13:36:00Z</cp:lastPrinted>
  <dcterms:created xsi:type="dcterms:W3CDTF">2018-04-06T19:37:00Z</dcterms:created>
  <dcterms:modified xsi:type="dcterms:W3CDTF">2018-04-06T19:37:00Z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_NewReviewCycle">
    <vt:lpwstr/>
  </property>
</Properties>
</file>